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840B" w14:textId="21CF649F" w:rsidR="0036611B" w:rsidRDefault="0036611B" w:rsidP="00C74296">
      <w:pPr>
        <w:pStyle w:val="Title"/>
      </w:pPr>
      <w:r>
        <w:rPr>
          <w:noProof/>
          <w:color w:val="2B579A"/>
          <w:shd w:val="clear" w:color="auto" w:fill="E6E6E6"/>
          <w:lang w:eastAsia="en-AU"/>
        </w:rPr>
        <w:drawing>
          <wp:anchor distT="0" distB="0" distL="114300" distR="114300" simplePos="0" relativeHeight="251658240" behindDoc="1" locked="0" layoutInCell="1" allowOverlap="1" wp14:anchorId="325D24D9" wp14:editId="3CB37C0F">
            <wp:simplePos x="0" y="0"/>
            <wp:positionH relativeFrom="page">
              <wp:posOffset>11876</wp:posOffset>
            </wp:positionH>
            <wp:positionV relativeFrom="page">
              <wp:posOffset>23751</wp:posOffset>
            </wp:positionV>
            <wp:extent cx="7559040" cy="1069213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page">
              <wp14:pctWidth>0</wp14:pctWidth>
            </wp14:sizeRelH>
            <wp14:sizeRelV relativeFrom="page">
              <wp14:pctHeight>0</wp14:pctHeight>
            </wp14:sizeRelV>
          </wp:anchor>
        </w:drawing>
      </w:r>
      <w:r>
        <w:t>National Post-Acute Sequelae of COVID</w:t>
      </w:r>
      <w:r w:rsidR="000E35CF">
        <w:noBreakHyphen/>
      </w:r>
      <w:r>
        <w:t>19 (PASC) Plan</w:t>
      </w:r>
    </w:p>
    <w:p w14:paraId="72343CE8" w14:textId="77777777" w:rsidR="0036611B" w:rsidRDefault="0036611B" w:rsidP="00F46042">
      <w:pPr>
        <w:spacing w:line="276" w:lineRule="auto"/>
      </w:pPr>
      <w:r>
        <w:br w:type="page"/>
      </w:r>
    </w:p>
    <w:sdt>
      <w:sdtPr>
        <w:rPr>
          <w:rFonts w:ascii="Arial" w:eastAsiaTheme="minorHAnsi" w:hAnsi="Arial" w:cs="Arial"/>
          <w:color w:val="auto"/>
          <w:sz w:val="24"/>
          <w:szCs w:val="24"/>
          <w:lang w:val="en-AU"/>
        </w:rPr>
        <w:id w:val="415137144"/>
        <w:docPartObj>
          <w:docPartGallery w:val="Table of Contents"/>
          <w:docPartUnique/>
        </w:docPartObj>
      </w:sdtPr>
      <w:sdtEndPr>
        <w:rPr>
          <w:rFonts w:cs="Times New Roman"/>
        </w:rPr>
      </w:sdtEndPr>
      <w:sdtContent>
        <w:p w14:paraId="75BB9E47" w14:textId="77777777" w:rsidR="0036611B" w:rsidRPr="00BF218A" w:rsidRDefault="0036611B" w:rsidP="00F46042">
          <w:pPr>
            <w:pStyle w:val="TOCHeading"/>
            <w:spacing w:after="240" w:line="276" w:lineRule="auto"/>
            <w:rPr>
              <w:rStyle w:val="TitleChar"/>
              <w:rFonts w:eastAsiaTheme="majorEastAsia" w:cs="Arial"/>
              <w:sz w:val="44"/>
              <w:szCs w:val="44"/>
            </w:rPr>
          </w:pPr>
          <w:r w:rsidRPr="00A6689A">
            <w:rPr>
              <w:rStyle w:val="TitleChar"/>
              <w:rFonts w:eastAsiaTheme="majorEastAsia" w:cs="Arial"/>
              <w:sz w:val="44"/>
              <w:szCs w:val="44"/>
            </w:rPr>
            <w:t>C</w:t>
          </w:r>
          <w:r w:rsidRPr="00BF218A">
            <w:rPr>
              <w:rStyle w:val="TitleChar"/>
              <w:rFonts w:eastAsiaTheme="majorEastAsia" w:cs="Arial"/>
              <w:sz w:val="44"/>
              <w:szCs w:val="44"/>
            </w:rPr>
            <w:t>ontents</w:t>
          </w:r>
        </w:p>
        <w:p w14:paraId="6C34E4A7" w14:textId="42D860FA" w:rsidR="001D78B9" w:rsidRDefault="00AA3B72">
          <w:pPr>
            <w:pStyle w:val="TOC1"/>
            <w:rPr>
              <w:rFonts w:asciiTheme="minorHAnsi" w:eastAsiaTheme="minorEastAsia" w:hAnsiTheme="minorHAnsi" w:cstheme="minorBidi"/>
              <w:noProof/>
              <w:kern w:val="2"/>
              <w:sz w:val="22"/>
              <w:szCs w:val="22"/>
              <w:lang w:eastAsia="en-AU"/>
              <w14:ligatures w14:val="standardContextual"/>
            </w:rPr>
          </w:pPr>
          <w:r w:rsidRPr="00BF218A">
            <w:rPr>
              <w:rFonts w:cs="Arial"/>
            </w:rPr>
            <w:fldChar w:fldCharType="begin"/>
          </w:r>
          <w:r w:rsidR="0036611B" w:rsidRPr="00BF218A">
            <w:rPr>
              <w:rFonts w:cs="Arial"/>
            </w:rPr>
            <w:instrText>TOC \o "1-3" \h \z \u</w:instrText>
          </w:r>
          <w:r w:rsidRPr="00BF218A">
            <w:rPr>
              <w:rFonts w:cs="Arial"/>
            </w:rPr>
            <w:fldChar w:fldCharType="separate"/>
          </w:r>
          <w:hyperlink w:anchor="_Toc157771505" w:history="1">
            <w:r w:rsidR="001D78B9" w:rsidRPr="00824CE4">
              <w:rPr>
                <w:rStyle w:val="Hyperlink"/>
                <w:noProof/>
              </w:rPr>
              <w:t>Acknowledgements</w:t>
            </w:r>
            <w:r w:rsidR="001D78B9">
              <w:rPr>
                <w:noProof/>
                <w:webHidden/>
              </w:rPr>
              <w:tab/>
            </w:r>
            <w:r w:rsidR="001D78B9">
              <w:rPr>
                <w:noProof/>
                <w:webHidden/>
              </w:rPr>
              <w:fldChar w:fldCharType="begin"/>
            </w:r>
            <w:r w:rsidR="001D78B9">
              <w:rPr>
                <w:noProof/>
                <w:webHidden/>
              </w:rPr>
              <w:instrText xml:space="preserve"> PAGEREF _Toc157771505 \h </w:instrText>
            </w:r>
            <w:r w:rsidR="001D78B9">
              <w:rPr>
                <w:noProof/>
                <w:webHidden/>
              </w:rPr>
            </w:r>
            <w:r w:rsidR="001D78B9">
              <w:rPr>
                <w:noProof/>
                <w:webHidden/>
              </w:rPr>
              <w:fldChar w:fldCharType="separate"/>
            </w:r>
            <w:r w:rsidR="001D78B9">
              <w:rPr>
                <w:noProof/>
                <w:webHidden/>
              </w:rPr>
              <w:t>3</w:t>
            </w:r>
            <w:r w:rsidR="001D78B9">
              <w:rPr>
                <w:noProof/>
                <w:webHidden/>
              </w:rPr>
              <w:fldChar w:fldCharType="end"/>
            </w:r>
          </w:hyperlink>
        </w:p>
        <w:p w14:paraId="4434D780" w14:textId="24D97649" w:rsidR="001D78B9" w:rsidRDefault="001D78B9">
          <w:pPr>
            <w:pStyle w:val="TOC1"/>
            <w:rPr>
              <w:rFonts w:asciiTheme="minorHAnsi" w:eastAsiaTheme="minorEastAsia" w:hAnsiTheme="minorHAnsi" w:cstheme="minorBidi"/>
              <w:noProof/>
              <w:kern w:val="2"/>
              <w:sz w:val="22"/>
              <w:szCs w:val="22"/>
              <w:lang w:eastAsia="en-AU"/>
              <w14:ligatures w14:val="standardContextual"/>
            </w:rPr>
          </w:pPr>
          <w:hyperlink w:anchor="_Toc157771506" w:history="1">
            <w:r w:rsidRPr="00824CE4">
              <w:rPr>
                <w:rStyle w:val="Hyperlink"/>
                <w:noProof/>
              </w:rPr>
              <w:t>Introduction</w:t>
            </w:r>
            <w:r>
              <w:rPr>
                <w:noProof/>
                <w:webHidden/>
              </w:rPr>
              <w:tab/>
            </w:r>
            <w:r>
              <w:rPr>
                <w:noProof/>
                <w:webHidden/>
              </w:rPr>
              <w:fldChar w:fldCharType="begin"/>
            </w:r>
            <w:r>
              <w:rPr>
                <w:noProof/>
                <w:webHidden/>
              </w:rPr>
              <w:instrText xml:space="preserve"> PAGEREF _Toc157771506 \h </w:instrText>
            </w:r>
            <w:r>
              <w:rPr>
                <w:noProof/>
                <w:webHidden/>
              </w:rPr>
            </w:r>
            <w:r>
              <w:rPr>
                <w:noProof/>
                <w:webHidden/>
              </w:rPr>
              <w:fldChar w:fldCharType="separate"/>
            </w:r>
            <w:r>
              <w:rPr>
                <w:noProof/>
                <w:webHidden/>
              </w:rPr>
              <w:t>4</w:t>
            </w:r>
            <w:r>
              <w:rPr>
                <w:noProof/>
                <w:webHidden/>
              </w:rPr>
              <w:fldChar w:fldCharType="end"/>
            </w:r>
          </w:hyperlink>
        </w:p>
        <w:p w14:paraId="3A3C14A7" w14:textId="10083714" w:rsidR="001D78B9" w:rsidRDefault="001D78B9">
          <w:pPr>
            <w:pStyle w:val="TOC1"/>
            <w:rPr>
              <w:rFonts w:asciiTheme="minorHAnsi" w:eastAsiaTheme="minorEastAsia" w:hAnsiTheme="minorHAnsi" w:cstheme="minorBidi"/>
              <w:noProof/>
              <w:kern w:val="2"/>
              <w:sz w:val="22"/>
              <w:szCs w:val="22"/>
              <w:lang w:eastAsia="en-AU"/>
              <w14:ligatures w14:val="standardContextual"/>
            </w:rPr>
          </w:pPr>
          <w:hyperlink w:anchor="_Toc157771507" w:history="1">
            <w:r w:rsidRPr="00824CE4">
              <w:rPr>
                <w:rStyle w:val="Hyperlink"/>
                <w:noProof/>
              </w:rPr>
              <w:t>Definition of PASC</w:t>
            </w:r>
            <w:r>
              <w:rPr>
                <w:noProof/>
                <w:webHidden/>
              </w:rPr>
              <w:tab/>
            </w:r>
            <w:r>
              <w:rPr>
                <w:noProof/>
                <w:webHidden/>
              </w:rPr>
              <w:fldChar w:fldCharType="begin"/>
            </w:r>
            <w:r>
              <w:rPr>
                <w:noProof/>
                <w:webHidden/>
              </w:rPr>
              <w:instrText xml:space="preserve"> PAGEREF _Toc157771507 \h </w:instrText>
            </w:r>
            <w:r>
              <w:rPr>
                <w:noProof/>
                <w:webHidden/>
              </w:rPr>
            </w:r>
            <w:r>
              <w:rPr>
                <w:noProof/>
                <w:webHidden/>
              </w:rPr>
              <w:fldChar w:fldCharType="separate"/>
            </w:r>
            <w:r>
              <w:rPr>
                <w:noProof/>
                <w:webHidden/>
              </w:rPr>
              <w:t>5</w:t>
            </w:r>
            <w:r>
              <w:rPr>
                <w:noProof/>
                <w:webHidden/>
              </w:rPr>
              <w:fldChar w:fldCharType="end"/>
            </w:r>
          </w:hyperlink>
        </w:p>
        <w:p w14:paraId="2DF12BA0" w14:textId="3FB817C0" w:rsidR="001D78B9" w:rsidRDefault="001D78B9">
          <w:pPr>
            <w:pStyle w:val="TOC1"/>
            <w:rPr>
              <w:rFonts w:asciiTheme="minorHAnsi" w:eastAsiaTheme="minorEastAsia" w:hAnsiTheme="minorHAnsi" w:cstheme="minorBidi"/>
              <w:noProof/>
              <w:kern w:val="2"/>
              <w:sz w:val="22"/>
              <w:szCs w:val="22"/>
              <w:lang w:eastAsia="en-AU"/>
              <w14:ligatures w14:val="standardContextual"/>
            </w:rPr>
          </w:pPr>
          <w:hyperlink w:anchor="_Toc157771508" w:history="1">
            <w:r w:rsidRPr="00824CE4">
              <w:rPr>
                <w:rStyle w:val="Hyperlink"/>
                <w:noProof/>
              </w:rPr>
              <w:t>The patient experience of PASC</w:t>
            </w:r>
            <w:r>
              <w:rPr>
                <w:noProof/>
                <w:webHidden/>
              </w:rPr>
              <w:tab/>
            </w:r>
            <w:r>
              <w:rPr>
                <w:noProof/>
                <w:webHidden/>
              </w:rPr>
              <w:fldChar w:fldCharType="begin"/>
            </w:r>
            <w:r>
              <w:rPr>
                <w:noProof/>
                <w:webHidden/>
              </w:rPr>
              <w:instrText xml:space="preserve"> PAGEREF _Toc157771508 \h </w:instrText>
            </w:r>
            <w:r>
              <w:rPr>
                <w:noProof/>
                <w:webHidden/>
              </w:rPr>
            </w:r>
            <w:r>
              <w:rPr>
                <w:noProof/>
                <w:webHidden/>
              </w:rPr>
              <w:fldChar w:fldCharType="separate"/>
            </w:r>
            <w:r>
              <w:rPr>
                <w:noProof/>
                <w:webHidden/>
              </w:rPr>
              <w:t>6</w:t>
            </w:r>
            <w:r>
              <w:rPr>
                <w:noProof/>
                <w:webHidden/>
              </w:rPr>
              <w:fldChar w:fldCharType="end"/>
            </w:r>
          </w:hyperlink>
        </w:p>
        <w:p w14:paraId="1823749D" w14:textId="371DCAB9" w:rsidR="001D78B9" w:rsidRDefault="001D78B9">
          <w:pPr>
            <w:pStyle w:val="TOC1"/>
            <w:rPr>
              <w:rFonts w:asciiTheme="minorHAnsi" w:eastAsiaTheme="minorEastAsia" w:hAnsiTheme="minorHAnsi" w:cstheme="minorBidi"/>
              <w:noProof/>
              <w:kern w:val="2"/>
              <w:sz w:val="22"/>
              <w:szCs w:val="22"/>
              <w:lang w:eastAsia="en-AU"/>
              <w14:ligatures w14:val="standardContextual"/>
            </w:rPr>
          </w:pPr>
          <w:hyperlink w:anchor="_Toc157771509" w:history="1">
            <w:r w:rsidRPr="00824CE4">
              <w:rPr>
                <w:rStyle w:val="Hyperlink"/>
                <w:noProof/>
              </w:rPr>
              <w:t>Inquiry into Long COVID and Repeated COVID Infections</w:t>
            </w:r>
            <w:r>
              <w:rPr>
                <w:noProof/>
                <w:webHidden/>
              </w:rPr>
              <w:tab/>
            </w:r>
            <w:r>
              <w:rPr>
                <w:noProof/>
                <w:webHidden/>
              </w:rPr>
              <w:fldChar w:fldCharType="begin"/>
            </w:r>
            <w:r>
              <w:rPr>
                <w:noProof/>
                <w:webHidden/>
              </w:rPr>
              <w:instrText xml:space="preserve"> PAGEREF _Toc157771509 \h </w:instrText>
            </w:r>
            <w:r>
              <w:rPr>
                <w:noProof/>
                <w:webHidden/>
              </w:rPr>
            </w:r>
            <w:r>
              <w:rPr>
                <w:noProof/>
                <w:webHidden/>
              </w:rPr>
              <w:fldChar w:fldCharType="separate"/>
            </w:r>
            <w:r>
              <w:rPr>
                <w:noProof/>
                <w:webHidden/>
              </w:rPr>
              <w:t>7</w:t>
            </w:r>
            <w:r>
              <w:rPr>
                <w:noProof/>
                <w:webHidden/>
              </w:rPr>
              <w:fldChar w:fldCharType="end"/>
            </w:r>
          </w:hyperlink>
        </w:p>
        <w:p w14:paraId="233D7C8F" w14:textId="731A2DA3" w:rsidR="001D78B9" w:rsidRDefault="001D78B9">
          <w:pPr>
            <w:pStyle w:val="TOC1"/>
            <w:rPr>
              <w:rFonts w:asciiTheme="minorHAnsi" w:eastAsiaTheme="minorEastAsia" w:hAnsiTheme="minorHAnsi" w:cstheme="minorBidi"/>
              <w:noProof/>
              <w:kern w:val="2"/>
              <w:sz w:val="22"/>
              <w:szCs w:val="22"/>
              <w:lang w:eastAsia="en-AU"/>
              <w14:ligatures w14:val="standardContextual"/>
            </w:rPr>
          </w:pPr>
          <w:hyperlink w:anchor="_Toc157771510" w:history="1">
            <w:r w:rsidRPr="00824CE4">
              <w:rPr>
                <w:rStyle w:val="Hyperlink"/>
                <w:noProof/>
              </w:rPr>
              <w:t>Our Commitment</w:t>
            </w:r>
            <w:r>
              <w:rPr>
                <w:noProof/>
                <w:webHidden/>
              </w:rPr>
              <w:tab/>
            </w:r>
            <w:r>
              <w:rPr>
                <w:noProof/>
                <w:webHidden/>
              </w:rPr>
              <w:fldChar w:fldCharType="begin"/>
            </w:r>
            <w:r>
              <w:rPr>
                <w:noProof/>
                <w:webHidden/>
              </w:rPr>
              <w:instrText xml:space="preserve"> PAGEREF _Toc157771510 \h </w:instrText>
            </w:r>
            <w:r>
              <w:rPr>
                <w:noProof/>
                <w:webHidden/>
              </w:rPr>
            </w:r>
            <w:r>
              <w:rPr>
                <w:noProof/>
                <w:webHidden/>
              </w:rPr>
              <w:fldChar w:fldCharType="separate"/>
            </w:r>
            <w:r>
              <w:rPr>
                <w:noProof/>
                <w:webHidden/>
              </w:rPr>
              <w:t>7</w:t>
            </w:r>
            <w:r>
              <w:rPr>
                <w:noProof/>
                <w:webHidden/>
              </w:rPr>
              <w:fldChar w:fldCharType="end"/>
            </w:r>
          </w:hyperlink>
        </w:p>
        <w:p w14:paraId="08E04568" w14:textId="78B61081" w:rsidR="001D78B9" w:rsidRDefault="001D78B9">
          <w:pPr>
            <w:pStyle w:val="TOC1"/>
            <w:rPr>
              <w:rFonts w:asciiTheme="minorHAnsi" w:eastAsiaTheme="minorEastAsia" w:hAnsiTheme="minorHAnsi" w:cstheme="minorBidi"/>
              <w:noProof/>
              <w:kern w:val="2"/>
              <w:sz w:val="22"/>
              <w:szCs w:val="22"/>
              <w:lang w:eastAsia="en-AU"/>
              <w14:ligatures w14:val="standardContextual"/>
            </w:rPr>
          </w:pPr>
          <w:hyperlink w:anchor="_Toc157771511" w:history="1">
            <w:r w:rsidRPr="00824CE4">
              <w:rPr>
                <w:rStyle w:val="Hyperlink"/>
                <w:noProof/>
              </w:rPr>
              <w:t>Strategic priorities</w:t>
            </w:r>
            <w:r>
              <w:rPr>
                <w:noProof/>
                <w:webHidden/>
              </w:rPr>
              <w:tab/>
            </w:r>
            <w:r>
              <w:rPr>
                <w:noProof/>
                <w:webHidden/>
              </w:rPr>
              <w:fldChar w:fldCharType="begin"/>
            </w:r>
            <w:r>
              <w:rPr>
                <w:noProof/>
                <w:webHidden/>
              </w:rPr>
              <w:instrText xml:space="preserve"> PAGEREF _Toc157771511 \h </w:instrText>
            </w:r>
            <w:r>
              <w:rPr>
                <w:noProof/>
                <w:webHidden/>
              </w:rPr>
            </w:r>
            <w:r>
              <w:rPr>
                <w:noProof/>
                <w:webHidden/>
              </w:rPr>
              <w:fldChar w:fldCharType="separate"/>
            </w:r>
            <w:r>
              <w:rPr>
                <w:noProof/>
                <w:webHidden/>
              </w:rPr>
              <w:t>8</w:t>
            </w:r>
            <w:r>
              <w:rPr>
                <w:noProof/>
                <w:webHidden/>
              </w:rPr>
              <w:fldChar w:fldCharType="end"/>
            </w:r>
          </w:hyperlink>
        </w:p>
        <w:p w14:paraId="1ED356E3" w14:textId="02057CE4" w:rsidR="001D78B9" w:rsidRDefault="001D78B9">
          <w:pPr>
            <w:pStyle w:val="TOC1"/>
            <w:rPr>
              <w:rFonts w:asciiTheme="minorHAnsi" w:eastAsiaTheme="minorEastAsia" w:hAnsiTheme="minorHAnsi" w:cstheme="minorBidi"/>
              <w:noProof/>
              <w:kern w:val="2"/>
              <w:sz w:val="22"/>
              <w:szCs w:val="22"/>
              <w:lang w:eastAsia="en-AU"/>
              <w14:ligatures w14:val="standardContextual"/>
            </w:rPr>
          </w:pPr>
          <w:hyperlink w:anchor="_Toc157771512" w:history="1">
            <w:r w:rsidRPr="00824CE4">
              <w:rPr>
                <w:rStyle w:val="Hyperlink"/>
                <w:noProof/>
              </w:rPr>
              <w:t>Principles</w:t>
            </w:r>
            <w:r>
              <w:rPr>
                <w:noProof/>
                <w:webHidden/>
              </w:rPr>
              <w:tab/>
            </w:r>
            <w:r>
              <w:rPr>
                <w:noProof/>
                <w:webHidden/>
              </w:rPr>
              <w:fldChar w:fldCharType="begin"/>
            </w:r>
            <w:r>
              <w:rPr>
                <w:noProof/>
                <w:webHidden/>
              </w:rPr>
              <w:instrText xml:space="preserve"> PAGEREF _Toc157771512 \h </w:instrText>
            </w:r>
            <w:r>
              <w:rPr>
                <w:noProof/>
                <w:webHidden/>
              </w:rPr>
            </w:r>
            <w:r>
              <w:rPr>
                <w:noProof/>
                <w:webHidden/>
              </w:rPr>
              <w:fldChar w:fldCharType="separate"/>
            </w:r>
            <w:r>
              <w:rPr>
                <w:noProof/>
                <w:webHidden/>
              </w:rPr>
              <w:t>8</w:t>
            </w:r>
            <w:r>
              <w:rPr>
                <w:noProof/>
                <w:webHidden/>
              </w:rPr>
              <w:fldChar w:fldCharType="end"/>
            </w:r>
          </w:hyperlink>
        </w:p>
        <w:p w14:paraId="2CB90D78" w14:textId="6801D782" w:rsidR="001D78B9" w:rsidRDefault="001D78B9">
          <w:pPr>
            <w:pStyle w:val="TOC1"/>
            <w:rPr>
              <w:rFonts w:asciiTheme="minorHAnsi" w:eastAsiaTheme="minorEastAsia" w:hAnsiTheme="minorHAnsi" w:cstheme="minorBidi"/>
              <w:noProof/>
              <w:kern w:val="2"/>
              <w:sz w:val="22"/>
              <w:szCs w:val="22"/>
              <w:lang w:eastAsia="en-AU"/>
              <w14:ligatures w14:val="standardContextual"/>
            </w:rPr>
          </w:pPr>
          <w:hyperlink w:anchor="_Toc157771513" w:history="1">
            <w:r w:rsidRPr="00824CE4">
              <w:rPr>
                <w:rStyle w:val="Hyperlink"/>
                <w:noProof/>
              </w:rPr>
              <w:t>Challenges</w:t>
            </w:r>
            <w:r>
              <w:rPr>
                <w:noProof/>
                <w:webHidden/>
              </w:rPr>
              <w:tab/>
            </w:r>
            <w:r>
              <w:rPr>
                <w:noProof/>
                <w:webHidden/>
              </w:rPr>
              <w:fldChar w:fldCharType="begin"/>
            </w:r>
            <w:r>
              <w:rPr>
                <w:noProof/>
                <w:webHidden/>
              </w:rPr>
              <w:instrText xml:space="preserve"> PAGEREF _Toc157771513 \h </w:instrText>
            </w:r>
            <w:r>
              <w:rPr>
                <w:noProof/>
                <w:webHidden/>
              </w:rPr>
            </w:r>
            <w:r>
              <w:rPr>
                <w:noProof/>
                <w:webHidden/>
              </w:rPr>
              <w:fldChar w:fldCharType="separate"/>
            </w:r>
            <w:r>
              <w:rPr>
                <w:noProof/>
                <w:webHidden/>
              </w:rPr>
              <w:t>9</w:t>
            </w:r>
            <w:r>
              <w:rPr>
                <w:noProof/>
                <w:webHidden/>
              </w:rPr>
              <w:fldChar w:fldCharType="end"/>
            </w:r>
          </w:hyperlink>
        </w:p>
        <w:p w14:paraId="5246879D" w14:textId="3700F561" w:rsidR="001D78B9" w:rsidRDefault="001D78B9">
          <w:pPr>
            <w:pStyle w:val="TOC1"/>
            <w:rPr>
              <w:rFonts w:asciiTheme="minorHAnsi" w:eastAsiaTheme="minorEastAsia" w:hAnsiTheme="minorHAnsi" w:cstheme="minorBidi"/>
              <w:noProof/>
              <w:kern w:val="2"/>
              <w:sz w:val="22"/>
              <w:szCs w:val="22"/>
              <w:lang w:eastAsia="en-AU"/>
              <w14:ligatures w14:val="standardContextual"/>
            </w:rPr>
          </w:pPr>
          <w:hyperlink w:anchor="_Toc157771514" w:history="1">
            <w:r w:rsidRPr="00824CE4">
              <w:rPr>
                <w:rStyle w:val="Hyperlink"/>
                <w:noProof/>
              </w:rPr>
              <w:t>Opportunities</w:t>
            </w:r>
            <w:r>
              <w:rPr>
                <w:noProof/>
                <w:webHidden/>
              </w:rPr>
              <w:tab/>
            </w:r>
            <w:r>
              <w:rPr>
                <w:noProof/>
                <w:webHidden/>
              </w:rPr>
              <w:fldChar w:fldCharType="begin"/>
            </w:r>
            <w:r>
              <w:rPr>
                <w:noProof/>
                <w:webHidden/>
              </w:rPr>
              <w:instrText xml:space="preserve"> PAGEREF _Toc157771514 \h </w:instrText>
            </w:r>
            <w:r>
              <w:rPr>
                <w:noProof/>
                <w:webHidden/>
              </w:rPr>
            </w:r>
            <w:r>
              <w:rPr>
                <w:noProof/>
                <w:webHidden/>
              </w:rPr>
              <w:fldChar w:fldCharType="separate"/>
            </w:r>
            <w:r>
              <w:rPr>
                <w:noProof/>
                <w:webHidden/>
              </w:rPr>
              <w:t>10</w:t>
            </w:r>
            <w:r>
              <w:rPr>
                <w:noProof/>
                <w:webHidden/>
              </w:rPr>
              <w:fldChar w:fldCharType="end"/>
            </w:r>
          </w:hyperlink>
        </w:p>
        <w:p w14:paraId="76CD75C3" w14:textId="1D5DFE3A" w:rsidR="001D78B9" w:rsidRDefault="001D78B9">
          <w:pPr>
            <w:pStyle w:val="TOC1"/>
            <w:rPr>
              <w:rFonts w:asciiTheme="minorHAnsi" w:eastAsiaTheme="minorEastAsia" w:hAnsiTheme="minorHAnsi" w:cstheme="minorBidi"/>
              <w:noProof/>
              <w:kern w:val="2"/>
              <w:sz w:val="22"/>
              <w:szCs w:val="22"/>
              <w:lang w:eastAsia="en-AU"/>
              <w14:ligatures w14:val="standardContextual"/>
            </w:rPr>
          </w:pPr>
          <w:hyperlink w:anchor="_Toc157771515" w:history="1">
            <w:r w:rsidRPr="00824CE4">
              <w:rPr>
                <w:rStyle w:val="Hyperlink"/>
                <w:noProof/>
              </w:rPr>
              <w:t>What is the Government doing already?</w:t>
            </w:r>
            <w:r>
              <w:rPr>
                <w:noProof/>
                <w:webHidden/>
              </w:rPr>
              <w:tab/>
            </w:r>
            <w:r>
              <w:rPr>
                <w:noProof/>
                <w:webHidden/>
              </w:rPr>
              <w:fldChar w:fldCharType="begin"/>
            </w:r>
            <w:r>
              <w:rPr>
                <w:noProof/>
                <w:webHidden/>
              </w:rPr>
              <w:instrText xml:space="preserve"> PAGEREF _Toc157771515 \h </w:instrText>
            </w:r>
            <w:r>
              <w:rPr>
                <w:noProof/>
                <w:webHidden/>
              </w:rPr>
            </w:r>
            <w:r>
              <w:rPr>
                <w:noProof/>
                <w:webHidden/>
              </w:rPr>
              <w:fldChar w:fldCharType="separate"/>
            </w:r>
            <w:r>
              <w:rPr>
                <w:noProof/>
                <w:webHidden/>
              </w:rPr>
              <w:t>11</w:t>
            </w:r>
            <w:r>
              <w:rPr>
                <w:noProof/>
                <w:webHidden/>
              </w:rPr>
              <w:fldChar w:fldCharType="end"/>
            </w:r>
          </w:hyperlink>
        </w:p>
        <w:p w14:paraId="432BB0FA" w14:textId="71FB749C" w:rsidR="001D78B9" w:rsidRDefault="001D78B9">
          <w:pPr>
            <w:pStyle w:val="TOC2"/>
            <w:tabs>
              <w:tab w:val="right" w:leader="dot" w:pos="9288"/>
            </w:tabs>
            <w:rPr>
              <w:rFonts w:asciiTheme="minorHAnsi" w:eastAsiaTheme="minorEastAsia" w:hAnsiTheme="minorHAnsi" w:cstheme="minorBidi"/>
              <w:noProof/>
              <w:kern w:val="2"/>
              <w:sz w:val="22"/>
              <w:szCs w:val="22"/>
              <w:lang w:eastAsia="en-AU"/>
              <w14:ligatures w14:val="standardContextual"/>
            </w:rPr>
          </w:pPr>
          <w:hyperlink w:anchor="_Toc157771516" w:history="1">
            <w:r w:rsidRPr="00824CE4">
              <w:rPr>
                <w:rStyle w:val="Hyperlink"/>
                <w:noProof/>
              </w:rPr>
              <w:t>Primary care</w:t>
            </w:r>
            <w:r>
              <w:rPr>
                <w:noProof/>
                <w:webHidden/>
              </w:rPr>
              <w:tab/>
            </w:r>
            <w:r>
              <w:rPr>
                <w:noProof/>
                <w:webHidden/>
              </w:rPr>
              <w:fldChar w:fldCharType="begin"/>
            </w:r>
            <w:r>
              <w:rPr>
                <w:noProof/>
                <w:webHidden/>
              </w:rPr>
              <w:instrText xml:space="preserve"> PAGEREF _Toc157771516 \h </w:instrText>
            </w:r>
            <w:r>
              <w:rPr>
                <w:noProof/>
                <w:webHidden/>
              </w:rPr>
            </w:r>
            <w:r>
              <w:rPr>
                <w:noProof/>
                <w:webHidden/>
              </w:rPr>
              <w:fldChar w:fldCharType="separate"/>
            </w:r>
            <w:r>
              <w:rPr>
                <w:noProof/>
                <w:webHidden/>
              </w:rPr>
              <w:t>11</w:t>
            </w:r>
            <w:r>
              <w:rPr>
                <w:noProof/>
                <w:webHidden/>
              </w:rPr>
              <w:fldChar w:fldCharType="end"/>
            </w:r>
          </w:hyperlink>
        </w:p>
        <w:p w14:paraId="7E313976" w14:textId="56B58134" w:rsidR="001D78B9" w:rsidRDefault="001D78B9">
          <w:pPr>
            <w:pStyle w:val="TOC2"/>
            <w:tabs>
              <w:tab w:val="right" w:leader="dot" w:pos="9288"/>
            </w:tabs>
            <w:rPr>
              <w:rFonts w:asciiTheme="minorHAnsi" w:eastAsiaTheme="minorEastAsia" w:hAnsiTheme="minorHAnsi" w:cstheme="minorBidi"/>
              <w:noProof/>
              <w:kern w:val="2"/>
              <w:sz w:val="22"/>
              <w:szCs w:val="22"/>
              <w:lang w:eastAsia="en-AU"/>
              <w14:ligatures w14:val="standardContextual"/>
            </w:rPr>
          </w:pPr>
          <w:hyperlink w:anchor="_Toc157771517" w:history="1">
            <w:r w:rsidRPr="00824CE4">
              <w:rPr>
                <w:rStyle w:val="Hyperlink"/>
                <w:noProof/>
              </w:rPr>
              <w:t>Mental health</w:t>
            </w:r>
            <w:r>
              <w:rPr>
                <w:noProof/>
                <w:webHidden/>
              </w:rPr>
              <w:tab/>
            </w:r>
            <w:r>
              <w:rPr>
                <w:noProof/>
                <w:webHidden/>
              </w:rPr>
              <w:fldChar w:fldCharType="begin"/>
            </w:r>
            <w:r>
              <w:rPr>
                <w:noProof/>
                <w:webHidden/>
              </w:rPr>
              <w:instrText xml:space="preserve"> PAGEREF _Toc157771517 \h </w:instrText>
            </w:r>
            <w:r>
              <w:rPr>
                <w:noProof/>
                <w:webHidden/>
              </w:rPr>
            </w:r>
            <w:r>
              <w:rPr>
                <w:noProof/>
                <w:webHidden/>
              </w:rPr>
              <w:fldChar w:fldCharType="separate"/>
            </w:r>
            <w:r>
              <w:rPr>
                <w:noProof/>
                <w:webHidden/>
              </w:rPr>
              <w:t>13</w:t>
            </w:r>
            <w:r>
              <w:rPr>
                <w:noProof/>
                <w:webHidden/>
              </w:rPr>
              <w:fldChar w:fldCharType="end"/>
            </w:r>
          </w:hyperlink>
        </w:p>
        <w:p w14:paraId="4176717B" w14:textId="0C2A7D8A" w:rsidR="001D78B9" w:rsidRDefault="001D78B9">
          <w:pPr>
            <w:pStyle w:val="TOC2"/>
            <w:tabs>
              <w:tab w:val="right" w:leader="dot" w:pos="9288"/>
            </w:tabs>
            <w:rPr>
              <w:rFonts w:asciiTheme="minorHAnsi" w:eastAsiaTheme="minorEastAsia" w:hAnsiTheme="minorHAnsi" w:cstheme="minorBidi"/>
              <w:noProof/>
              <w:kern w:val="2"/>
              <w:sz w:val="22"/>
              <w:szCs w:val="22"/>
              <w:lang w:eastAsia="en-AU"/>
              <w14:ligatures w14:val="standardContextual"/>
            </w:rPr>
          </w:pPr>
          <w:hyperlink w:anchor="_Toc157771518" w:history="1">
            <w:r w:rsidRPr="00824CE4">
              <w:rPr>
                <w:rStyle w:val="Hyperlink"/>
                <w:noProof/>
              </w:rPr>
              <w:t>Other healthcare support</w:t>
            </w:r>
            <w:r>
              <w:rPr>
                <w:noProof/>
                <w:webHidden/>
              </w:rPr>
              <w:tab/>
            </w:r>
            <w:r>
              <w:rPr>
                <w:noProof/>
                <w:webHidden/>
              </w:rPr>
              <w:fldChar w:fldCharType="begin"/>
            </w:r>
            <w:r>
              <w:rPr>
                <w:noProof/>
                <w:webHidden/>
              </w:rPr>
              <w:instrText xml:space="preserve"> PAGEREF _Toc157771518 \h </w:instrText>
            </w:r>
            <w:r>
              <w:rPr>
                <w:noProof/>
                <w:webHidden/>
              </w:rPr>
            </w:r>
            <w:r>
              <w:rPr>
                <w:noProof/>
                <w:webHidden/>
              </w:rPr>
              <w:fldChar w:fldCharType="separate"/>
            </w:r>
            <w:r>
              <w:rPr>
                <w:noProof/>
                <w:webHidden/>
              </w:rPr>
              <w:t>13</w:t>
            </w:r>
            <w:r>
              <w:rPr>
                <w:noProof/>
                <w:webHidden/>
              </w:rPr>
              <w:fldChar w:fldCharType="end"/>
            </w:r>
          </w:hyperlink>
        </w:p>
        <w:p w14:paraId="77EC6135" w14:textId="551EBBD9" w:rsidR="001D78B9" w:rsidRDefault="001D78B9">
          <w:pPr>
            <w:pStyle w:val="TOC2"/>
            <w:tabs>
              <w:tab w:val="right" w:leader="dot" w:pos="9288"/>
            </w:tabs>
            <w:rPr>
              <w:rFonts w:asciiTheme="minorHAnsi" w:eastAsiaTheme="minorEastAsia" w:hAnsiTheme="minorHAnsi" w:cstheme="minorBidi"/>
              <w:noProof/>
              <w:kern w:val="2"/>
              <w:sz w:val="22"/>
              <w:szCs w:val="22"/>
              <w:lang w:eastAsia="en-AU"/>
              <w14:ligatures w14:val="standardContextual"/>
            </w:rPr>
          </w:pPr>
          <w:hyperlink w:anchor="_Toc157771519" w:history="1">
            <w:r w:rsidRPr="00824CE4">
              <w:rPr>
                <w:rStyle w:val="Hyperlink"/>
                <w:noProof/>
              </w:rPr>
              <w:t>Research</w:t>
            </w:r>
            <w:r>
              <w:rPr>
                <w:noProof/>
                <w:webHidden/>
              </w:rPr>
              <w:tab/>
            </w:r>
            <w:r>
              <w:rPr>
                <w:noProof/>
                <w:webHidden/>
              </w:rPr>
              <w:fldChar w:fldCharType="begin"/>
            </w:r>
            <w:r>
              <w:rPr>
                <w:noProof/>
                <w:webHidden/>
              </w:rPr>
              <w:instrText xml:space="preserve"> PAGEREF _Toc157771519 \h </w:instrText>
            </w:r>
            <w:r>
              <w:rPr>
                <w:noProof/>
                <w:webHidden/>
              </w:rPr>
            </w:r>
            <w:r>
              <w:rPr>
                <w:noProof/>
                <w:webHidden/>
              </w:rPr>
              <w:fldChar w:fldCharType="separate"/>
            </w:r>
            <w:r>
              <w:rPr>
                <w:noProof/>
                <w:webHidden/>
              </w:rPr>
              <w:t>13</w:t>
            </w:r>
            <w:r>
              <w:rPr>
                <w:noProof/>
                <w:webHidden/>
              </w:rPr>
              <w:fldChar w:fldCharType="end"/>
            </w:r>
          </w:hyperlink>
        </w:p>
        <w:p w14:paraId="425A332D" w14:textId="04002D5C" w:rsidR="001D78B9" w:rsidRDefault="001D78B9">
          <w:pPr>
            <w:pStyle w:val="TOC2"/>
            <w:tabs>
              <w:tab w:val="right" w:leader="dot" w:pos="9288"/>
            </w:tabs>
            <w:rPr>
              <w:rFonts w:asciiTheme="minorHAnsi" w:eastAsiaTheme="minorEastAsia" w:hAnsiTheme="minorHAnsi" w:cstheme="minorBidi"/>
              <w:noProof/>
              <w:kern w:val="2"/>
              <w:sz w:val="22"/>
              <w:szCs w:val="22"/>
              <w:lang w:eastAsia="en-AU"/>
              <w14:ligatures w14:val="standardContextual"/>
            </w:rPr>
          </w:pPr>
          <w:hyperlink w:anchor="_Toc157771520" w:history="1">
            <w:r w:rsidRPr="00824CE4">
              <w:rPr>
                <w:rStyle w:val="Hyperlink"/>
                <w:noProof/>
              </w:rPr>
              <w:t>Data linkage</w:t>
            </w:r>
            <w:r>
              <w:rPr>
                <w:noProof/>
                <w:webHidden/>
              </w:rPr>
              <w:tab/>
            </w:r>
            <w:r>
              <w:rPr>
                <w:noProof/>
                <w:webHidden/>
              </w:rPr>
              <w:fldChar w:fldCharType="begin"/>
            </w:r>
            <w:r>
              <w:rPr>
                <w:noProof/>
                <w:webHidden/>
              </w:rPr>
              <w:instrText xml:space="preserve"> PAGEREF _Toc157771520 \h </w:instrText>
            </w:r>
            <w:r>
              <w:rPr>
                <w:noProof/>
                <w:webHidden/>
              </w:rPr>
            </w:r>
            <w:r>
              <w:rPr>
                <w:noProof/>
                <w:webHidden/>
              </w:rPr>
              <w:fldChar w:fldCharType="separate"/>
            </w:r>
            <w:r>
              <w:rPr>
                <w:noProof/>
                <w:webHidden/>
              </w:rPr>
              <w:t>15</w:t>
            </w:r>
            <w:r>
              <w:rPr>
                <w:noProof/>
                <w:webHidden/>
              </w:rPr>
              <w:fldChar w:fldCharType="end"/>
            </w:r>
          </w:hyperlink>
        </w:p>
        <w:p w14:paraId="196A282E" w14:textId="5BAB71AC" w:rsidR="001D78B9" w:rsidRDefault="001D78B9">
          <w:pPr>
            <w:pStyle w:val="TOC1"/>
            <w:rPr>
              <w:rFonts w:asciiTheme="minorHAnsi" w:eastAsiaTheme="minorEastAsia" w:hAnsiTheme="minorHAnsi" w:cstheme="minorBidi"/>
              <w:noProof/>
              <w:kern w:val="2"/>
              <w:sz w:val="22"/>
              <w:szCs w:val="22"/>
              <w:lang w:eastAsia="en-AU"/>
              <w14:ligatures w14:val="standardContextual"/>
            </w:rPr>
          </w:pPr>
          <w:hyperlink w:anchor="_Toc157771521" w:history="1">
            <w:r w:rsidRPr="00824CE4">
              <w:rPr>
                <w:rStyle w:val="Hyperlink"/>
                <w:noProof/>
              </w:rPr>
              <w:t>What strategies are planned</w:t>
            </w:r>
            <w:r>
              <w:rPr>
                <w:noProof/>
                <w:webHidden/>
              </w:rPr>
              <w:tab/>
            </w:r>
            <w:r>
              <w:rPr>
                <w:noProof/>
                <w:webHidden/>
              </w:rPr>
              <w:fldChar w:fldCharType="begin"/>
            </w:r>
            <w:r>
              <w:rPr>
                <w:noProof/>
                <w:webHidden/>
              </w:rPr>
              <w:instrText xml:space="preserve"> PAGEREF _Toc157771521 \h </w:instrText>
            </w:r>
            <w:r>
              <w:rPr>
                <w:noProof/>
                <w:webHidden/>
              </w:rPr>
            </w:r>
            <w:r>
              <w:rPr>
                <w:noProof/>
                <w:webHidden/>
              </w:rPr>
              <w:fldChar w:fldCharType="separate"/>
            </w:r>
            <w:r>
              <w:rPr>
                <w:noProof/>
                <w:webHidden/>
              </w:rPr>
              <w:t>15</w:t>
            </w:r>
            <w:r>
              <w:rPr>
                <w:noProof/>
                <w:webHidden/>
              </w:rPr>
              <w:fldChar w:fldCharType="end"/>
            </w:r>
          </w:hyperlink>
        </w:p>
        <w:p w14:paraId="18943698" w14:textId="0C3F93D7" w:rsidR="001D78B9" w:rsidRDefault="001D78B9">
          <w:pPr>
            <w:pStyle w:val="TOC1"/>
            <w:rPr>
              <w:rFonts w:asciiTheme="minorHAnsi" w:eastAsiaTheme="minorEastAsia" w:hAnsiTheme="minorHAnsi" w:cstheme="minorBidi"/>
              <w:noProof/>
              <w:kern w:val="2"/>
              <w:sz w:val="22"/>
              <w:szCs w:val="22"/>
              <w:lang w:eastAsia="en-AU"/>
              <w14:ligatures w14:val="standardContextual"/>
            </w:rPr>
          </w:pPr>
          <w:hyperlink w:anchor="_Toc157771522" w:history="1">
            <w:r w:rsidRPr="00824CE4">
              <w:rPr>
                <w:rStyle w:val="Hyperlink"/>
                <w:noProof/>
              </w:rPr>
              <w:t>Our ongoing COVID-19 response</w:t>
            </w:r>
            <w:r>
              <w:rPr>
                <w:noProof/>
                <w:webHidden/>
              </w:rPr>
              <w:tab/>
            </w:r>
            <w:r>
              <w:rPr>
                <w:noProof/>
                <w:webHidden/>
              </w:rPr>
              <w:fldChar w:fldCharType="begin"/>
            </w:r>
            <w:r>
              <w:rPr>
                <w:noProof/>
                <w:webHidden/>
              </w:rPr>
              <w:instrText xml:space="preserve"> PAGEREF _Toc157771522 \h </w:instrText>
            </w:r>
            <w:r>
              <w:rPr>
                <w:noProof/>
                <w:webHidden/>
              </w:rPr>
            </w:r>
            <w:r>
              <w:rPr>
                <w:noProof/>
                <w:webHidden/>
              </w:rPr>
              <w:fldChar w:fldCharType="separate"/>
            </w:r>
            <w:r>
              <w:rPr>
                <w:noProof/>
                <w:webHidden/>
              </w:rPr>
              <w:t>17</w:t>
            </w:r>
            <w:r>
              <w:rPr>
                <w:noProof/>
                <w:webHidden/>
              </w:rPr>
              <w:fldChar w:fldCharType="end"/>
            </w:r>
          </w:hyperlink>
        </w:p>
        <w:p w14:paraId="08FF1C72" w14:textId="080440CF" w:rsidR="001D78B9" w:rsidRDefault="001D78B9">
          <w:pPr>
            <w:pStyle w:val="TOC1"/>
            <w:rPr>
              <w:rFonts w:asciiTheme="minorHAnsi" w:eastAsiaTheme="minorEastAsia" w:hAnsiTheme="minorHAnsi" w:cstheme="minorBidi"/>
              <w:noProof/>
              <w:kern w:val="2"/>
              <w:sz w:val="22"/>
              <w:szCs w:val="22"/>
              <w:lang w:eastAsia="en-AU"/>
              <w14:ligatures w14:val="standardContextual"/>
            </w:rPr>
          </w:pPr>
          <w:hyperlink w:anchor="_Toc157771523" w:history="1">
            <w:r w:rsidRPr="00824CE4">
              <w:rPr>
                <w:rStyle w:val="Hyperlink"/>
                <w:noProof/>
              </w:rPr>
              <w:t>Abbreviations</w:t>
            </w:r>
            <w:r>
              <w:rPr>
                <w:noProof/>
                <w:webHidden/>
              </w:rPr>
              <w:tab/>
            </w:r>
            <w:r>
              <w:rPr>
                <w:noProof/>
                <w:webHidden/>
              </w:rPr>
              <w:fldChar w:fldCharType="begin"/>
            </w:r>
            <w:r>
              <w:rPr>
                <w:noProof/>
                <w:webHidden/>
              </w:rPr>
              <w:instrText xml:space="preserve"> PAGEREF _Toc157771523 \h </w:instrText>
            </w:r>
            <w:r>
              <w:rPr>
                <w:noProof/>
                <w:webHidden/>
              </w:rPr>
            </w:r>
            <w:r>
              <w:rPr>
                <w:noProof/>
                <w:webHidden/>
              </w:rPr>
              <w:fldChar w:fldCharType="separate"/>
            </w:r>
            <w:r>
              <w:rPr>
                <w:noProof/>
                <w:webHidden/>
              </w:rPr>
              <w:t>18</w:t>
            </w:r>
            <w:r>
              <w:rPr>
                <w:noProof/>
                <w:webHidden/>
              </w:rPr>
              <w:fldChar w:fldCharType="end"/>
            </w:r>
          </w:hyperlink>
        </w:p>
        <w:p w14:paraId="2EEC6B24" w14:textId="3DF2EFDF" w:rsidR="006C6B86" w:rsidRDefault="00AA3B72" w:rsidP="006C6B86">
          <w:r w:rsidRPr="00BF218A">
            <w:rPr>
              <w:rFonts w:cs="Arial"/>
            </w:rPr>
            <w:fldChar w:fldCharType="end"/>
          </w:r>
        </w:p>
      </w:sdtContent>
    </w:sdt>
    <w:p w14:paraId="5AD6BA17" w14:textId="74B06A56" w:rsidR="0036611B" w:rsidRDefault="0036611B" w:rsidP="006C6B86">
      <w:r>
        <w:br w:type="page"/>
      </w:r>
    </w:p>
    <w:p w14:paraId="27EA5F00" w14:textId="77777777" w:rsidR="0036611B" w:rsidRPr="006C6B86" w:rsidRDefault="0036611B" w:rsidP="006C6B86">
      <w:pPr>
        <w:pStyle w:val="Heading1"/>
      </w:pPr>
      <w:bookmarkStart w:id="0" w:name="_Toc136588400"/>
      <w:bookmarkStart w:id="1" w:name="_Toc137202810"/>
      <w:bookmarkStart w:id="2" w:name="_Toc157771505"/>
      <w:r>
        <w:lastRenderedPageBreak/>
        <w:t>Acknowledgements</w:t>
      </w:r>
      <w:bookmarkEnd w:id="0"/>
      <w:bookmarkEnd w:id="1"/>
      <w:bookmarkEnd w:id="2"/>
    </w:p>
    <w:p w14:paraId="654B3DF7" w14:textId="4C54D75E" w:rsidR="0036611B" w:rsidRPr="00261EE5" w:rsidRDefault="007A2112" w:rsidP="006C6B86">
      <w:pPr>
        <w:rPr>
          <w:lang w:val="en-US"/>
        </w:rPr>
      </w:pPr>
      <w:r w:rsidRPr="007A2112">
        <w:rPr>
          <w:lang w:val="en-US"/>
        </w:rPr>
        <w:t>In the spirit of reconciliation</w:t>
      </w:r>
      <w:r w:rsidR="001410B1" w:rsidRPr="007A2112">
        <w:rPr>
          <w:lang w:val="en-US"/>
        </w:rPr>
        <w:t>,</w:t>
      </w:r>
      <w:r w:rsidRPr="007A2112">
        <w:rPr>
          <w:lang w:val="en-US"/>
        </w:rPr>
        <w:t xml:space="preserve"> the</w:t>
      </w:r>
      <w:r w:rsidRPr="00261EE5">
        <w:rPr>
          <w:lang w:val="en-US"/>
        </w:rPr>
        <w:t xml:space="preserve"> </w:t>
      </w:r>
      <w:r w:rsidR="0036611B" w:rsidRPr="00261EE5">
        <w:rPr>
          <w:lang w:val="en-US"/>
        </w:rPr>
        <w:t xml:space="preserve">Commonwealth Department of </w:t>
      </w:r>
      <w:proofErr w:type="gramStart"/>
      <w:r w:rsidR="0036611B" w:rsidRPr="00261EE5">
        <w:rPr>
          <w:lang w:val="en-US"/>
        </w:rPr>
        <w:t>Health</w:t>
      </w:r>
      <w:proofErr w:type="gramEnd"/>
      <w:r w:rsidR="0036611B" w:rsidRPr="00261EE5">
        <w:rPr>
          <w:lang w:val="en-US"/>
        </w:rPr>
        <w:t xml:space="preserve"> and Aged Care </w:t>
      </w:r>
      <w:r w:rsidR="00091195" w:rsidRPr="00261EE5">
        <w:rPr>
          <w:lang w:val="en-US"/>
        </w:rPr>
        <w:t xml:space="preserve">(Department) </w:t>
      </w:r>
      <w:r w:rsidR="0036611B" w:rsidRPr="00261EE5">
        <w:rPr>
          <w:lang w:val="en-US"/>
        </w:rPr>
        <w:t xml:space="preserve">acknowledges </w:t>
      </w:r>
      <w:r w:rsidRPr="007A2112">
        <w:rPr>
          <w:lang w:val="en-US"/>
        </w:rPr>
        <w:t xml:space="preserve">the Traditional Custodians of </w:t>
      </w:r>
      <w:r w:rsidR="00CF7F81">
        <w:rPr>
          <w:lang w:val="en-US"/>
        </w:rPr>
        <w:t>Co</w:t>
      </w:r>
      <w:r w:rsidRPr="007A2112">
        <w:rPr>
          <w:lang w:val="en-US"/>
        </w:rPr>
        <w:t xml:space="preserve">untry throughout Australia and their connections to land, sea and community. We pay our respect to their Elders past and present and extend that respect to all Aboriginal and Torres Strait Islander peoples today. </w:t>
      </w:r>
    </w:p>
    <w:p w14:paraId="1CDD3F2E" w14:textId="77777777" w:rsidR="00307A67" w:rsidRDefault="00B87D57" w:rsidP="006E4EDC">
      <w:pPr>
        <w:pStyle w:val="NoSpacing"/>
        <w:spacing w:line="276" w:lineRule="auto"/>
        <w:rPr>
          <w:rFonts w:eastAsia="Arial" w:cs="Arial"/>
          <w:color w:val="000000" w:themeColor="text1"/>
          <w:sz w:val="24"/>
        </w:rPr>
      </w:pPr>
      <w:r w:rsidRPr="00C87459">
        <w:rPr>
          <w:rFonts w:eastAsia="Calibri" w:cs="Arial"/>
          <w:color w:val="000000" w:themeColor="text1"/>
          <w:sz w:val="24"/>
          <w:lang w:val="en-US" w:eastAsia="en-AU"/>
        </w:rPr>
        <w:t xml:space="preserve">The National PASC Plan is informed by </w:t>
      </w:r>
      <w:r w:rsidR="0036611B" w:rsidRPr="00C87459">
        <w:rPr>
          <w:rFonts w:eastAsia="Calibri" w:cs="Arial"/>
          <w:color w:val="000000" w:themeColor="text1"/>
          <w:sz w:val="24"/>
          <w:lang w:val="en-US" w:eastAsia="en-AU"/>
        </w:rPr>
        <w:t xml:space="preserve">the findings and recommendations of the House Standing Committee on Health, Aged Care and Sport’s </w:t>
      </w:r>
      <w:r w:rsidR="0036611B" w:rsidRPr="006E4EDC">
        <w:rPr>
          <w:rFonts w:eastAsia="Arial" w:cs="Arial"/>
          <w:i/>
          <w:color w:val="000000" w:themeColor="text1"/>
          <w:sz w:val="24"/>
        </w:rPr>
        <w:t>Inquiry</w:t>
      </w:r>
      <w:r w:rsidR="0036611B" w:rsidRPr="00261EE5">
        <w:rPr>
          <w:rFonts w:eastAsia="Arial" w:cs="Arial"/>
          <w:i/>
          <w:color w:val="000000" w:themeColor="text1"/>
          <w:sz w:val="24"/>
        </w:rPr>
        <w:t xml:space="preserve"> into Long COVID and Repeated COVID Infections.</w:t>
      </w:r>
      <w:r w:rsidR="0036611B" w:rsidRPr="00261EE5">
        <w:rPr>
          <w:rFonts w:eastAsia="Arial" w:cs="Arial"/>
          <w:color w:val="000000" w:themeColor="text1"/>
          <w:sz w:val="24"/>
        </w:rPr>
        <w:t xml:space="preserve"> The Committee tabled its report – ‘</w:t>
      </w:r>
      <w:hyperlink r:id="rId12">
        <w:r w:rsidR="0036611B" w:rsidRPr="18A56BAC">
          <w:rPr>
            <w:rStyle w:val="Hyperlink"/>
            <w:rFonts w:eastAsia="Arial" w:cs="Arial"/>
            <w:sz w:val="24"/>
          </w:rPr>
          <w:t xml:space="preserve">Sick and tired: Casting </w:t>
        </w:r>
        <w:r w:rsidR="00C02D9F" w:rsidRPr="18A56BAC">
          <w:rPr>
            <w:rStyle w:val="Hyperlink"/>
            <w:rFonts w:eastAsia="Arial" w:cs="Arial"/>
            <w:sz w:val="24"/>
          </w:rPr>
          <w:t xml:space="preserve">a </w:t>
        </w:r>
        <w:r w:rsidR="0036611B" w:rsidRPr="18A56BAC">
          <w:rPr>
            <w:rStyle w:val="Hyperlink"/>
            <w:rFonts w:eastAsia="Arial" w:cs="Arial"/>
            <w:sz w:val="24"/>
          </w:rPr>
          <w:t>long shadow</w:t>
        </w:r>
      </w:hyperlink>
      <w:r w:rsidR="0036611B" w:rsidRPr="18A56BAC">
        <w:rPr>
          <w:rFonts w:eastAsia="Arial" w:cs="Arial"/>
          <w:color w:val="000000" w:themeColor="text1"/>
          <w:sz w:val="24"/>
        </w:rPr>
        <w:t>’ – on 19 April 2023.</w:t>
      </w:r>
      <w:r w:rsidRPr="00261EE5">
        <w:rPr>
          <w:rFonts w:eastAsia="Arial" w:cs="Arial"/>
          <w:color w:val="000000" w:themeColor="text1"/>
          <w:sz w:val="24"/>
        </w:rPr>
        <w:t xml:space="preserve"> The report was informed by </w:t>
      </w:r>
      <w:proofErr w:type="gramStart"/>
      <w:r w:rsidR="00061659">
        <w:rPr>
          <w:rFonts w:eastAsia="Arial" w:cs="Arial"/>
          <w:color w:val="000000" w:themeColor="text1"/>
          <w:sz w:val="24"/>
        </w:rPr>
        <w:t>almost</w:t>
      </w:r>
      <w:proofErr w:type="gramEnd"/>
      <w:r w:rsidR="00061659">
        <w:rPr>
          <w:rFonts w:eastAsia="Arial" w:cs="Arial"/>
          <w:color w:val="000000" w:themeColor="text1"/>
          <w:sz w:val="24"/>
        </w:rPr>
        <w:t xml:space="preserve"> </w:t>
      </w:r>
    </w:p>
    <w:p w14:paraId="7FA1C1BA" w14:textId="03B39EBC" w:rsidR="0036611B" w:rsidRPr="00261EE5" w:rsidRDefault="00061659" w:rsidP="00261EE5">
      <w:pPr>
        <w:pStyle w:val="NoSpacing"/>
        <w:spacing w:after="240" w:line="276" w:lineRule="auto"/>
        <w:rPr>
          <w:rFonts w:eastAsia="Arial" w:cs="Arial"/>
          <w:color w:val="000000" w:themeColor="text1"/>
          <w:sz w:val="24"/>
        </w:rPr>
      </w:pPr>
      <w:r>
        <w:rPr>
          <w:rFonts w:eastAsia="Arial" w:cs="Arial"/>
          <w:color w:val="000000" w:themeColor="text1"/>
          <w:sz w:val="24"/>
        </w:rPr>
        <w:t>600</w:t>
      </w:r>
      <w:r w:rsidR="00B87D57" w:rsidRPr="00261EE5">
        <w:rPr>
          <w:rFonts w:eastAsia="Arial" w:cs="Arial"/>
          <w:color w:val="000000" w:themeColor="text1"/>
          <w:sz w:val="24"/>
        </w:rPr>
        <w:t xml:space="preserve"> submissions and testimonies from</w:t>
      </w:r>
      <w:r w:rsidR="000E35CF" w:rsidRPr="00261EE5">
        <w:rPr>
          <w:rFonts w:eastAsia="Arial" w:cs="Arial"/>
          <w:color w:val="000000" w:themeColor="text1"/>
          <w:sz w:val="24"/>
        </w:rPr>
        <w:t xml:space="preserve"> various stakeholders including</w:t>
      </w:r>
      <w:r w:rsidR="00B87D57" w:rsidRPr="00261EE5">
        <w:rPr>
          <w:rFonts w:eastAsia="Arial" w:cs="Arial"/>
          <w:color w:val="000000" w:themeColor="text1"/>
          <w:sz w:val="24"/>
        </w:rPr>
        <w:t xml:space="preserve"> individuals, community groups, leading health experts, prominent public health organisations and state and territory health departments.</w:t>
      </w:r>
    </w:p>
    <w:p w14:paraId="3CFFBFBC" w14:textId="77777777" w:rsidR="0036611B" w:rsidRPr="0036611B" w:rsidRDefault="0036611B" w:rsidP="00F46042">
      <w:pPr>
        <w:spacing w:line="276" w:lineRule="auto"/>
        <w:rPr>
          <w:rFonts w:eastAsia="Arial" w:cs="Arial"/>
          <w:color w:val="000000" w:themeColor="text1"/>
        </w:rPr>
      </w:pPr>
      <w:r w:rsidRPr="0036611B">
        <w:rPr>
          <w:rFonts w:eastAsia="Arial" w:cs="Arial"/>
          <w:color w:val="000000" w:themeColor="text1"/>
        </w:rPr>
        <w:br w:type="page"/>
      </w:r>
    </w:p>
    <w:p w14:paraId="70CD43C7" w14:textId="77777777" w:rsidR="0036611B" w:rsidRPr="00323B1D" w:rsidRDefault="0036611B" w:rsidP="00B22483">
      <w:pPr>
        <w:pStyle w:val="Heading1"/>
        <w:spacing w:before="0" w:after="120" w:line="276" w:lineRule="auto"/>
      </w:pPr>
      <w:bookmarkStart w:id="3" w:name="_Toc136588401"/>
      <w:bookmarkStart w:id="4" w:name="_Toc137202811"/>
      <w:bookmarkStart w:id="5" w:name="_Toc157771506"/>
      <w:r>
        <w:lastRenderedPageBreak/>
        <w:t>Introduction</w:t>
      </w:r>
      <w:bookmarkEnd w:id="3"/>
      <w:bookmarkEnd w:id="4"/>
      <w:bookmarkEnd w:id="5"/>
    </w:p>
    <w:p w14:paraId="3D443D57" w14:textId="26F860D4" w:rsidR="000A5CB6" w:rsidRDefault="622F60BD" w:rsidP="006C6B86">
      <w:pPr>
        <w:rPr>
          <w:lang w:val="en-US"/>
        </w:rPr>
      </w:pPr>
      <w:r w:rsidRPr="5F4603D2">
        <w:rPr>
          <w:lang w:val="en-US"/>
        </w:rPr>
        <w:t xml:space="preserve">Post-Acute Sequelae of COVID-19 (PASC) is an emerging health issue both in Australia and internationally. </w:t>
      </w:r>
      <w:r w:rsidR="7F190545" w:rsidRPr="5F4603D2">
        <w:rPr>
          <w:lang w:val="en-US"/>
        </w:rPr>
        <w:t xml:space="preserve">The Australian Government </w:t>
      </w:r>
      <w:proofErr w:type="spellStart"/>
      <w:r w:rsidR="7F190545" w:rsidRPr="5F4603D2">
        <w:rPr>
          <w:lang w:val="en-US"/>
        </w:rPr>
        <w:t>recognises</w:t>
      </w:r>
      <w:proofErr w:type="spellEnd"/>
      <w:r w:rsidR="7F190545" w:rsidRPr="5F4603D2">
        <w:rPr>
          <w:lang w:val="en-US"/>
        </w:rPr>
        <w:t xml:space="preserve"> that some Australians have experienced a prolonged illness with persistent symptoms or ‘clinical sequelae’ for weeks to several months after being infected with SARS-CoV-2 (the virus that causes COVID-19). </w:t>
      </w:r>
      <w:r w:rsidRPr="5F4603D2">
        <w:rPr>
          <w:rFonts w:eastAsia="Calibri"/>
          <w:lang w:val="en-US"/>
        </w:rPr>
        <w:t>Evidence surrounding PASC and best practice management is evolving</w:t>
      </w:r>
      <w:r w:rsidR="7174FC8B" w:rsidRPr="5F4603D2">
        <w:rPr>
          <w:rFonts w:eastAsia="Calibri"/>
          <w:lang w:val="en-US"/>
        </w:rPr>
        <w:t xml:space="preserve">, and </w:t>
      </w:r>
      <w:r w:rsidR="08EAF927" w:rsidRPr="5F4603D2">
        <w:rPr>
          <w:rFonts w:eastAsia="Calibri"/>
          <w:lang w:val="en-US"/>
        </w:rPr>
        <w:t xml:space="preserve">it is understandable that this may cause confusion for </w:t>
      </w:r>
      <w:r w:rsidR="273B96EA" w:rsidRPr="5F4603D2">
        <w:rPr>
          <w:rFonts w:eastAsia="Calibri"/>
          <w:lang w:val="en-US"/>
        </w:rPr>
        <w:t>both individuals and healthcare providers</w:t>
      </w:r>
      <w:r w:rsidRPr="5F4603D2">
        <w:rPr>
          <w:rFonts w:eastAsia="Calibri"/>
          <w:lang w:val="en-US"/>
        </w:rPr>
        <w:t>.</w:t>
      </w:r>
      <w:r w:rsidRPr="5F4603D2">
        <w:rPr>
          <w:lang w:val="en-US"/>
        </w:rPr>
        <w:t xml:space="preserve"> </w:t>
      </w:r>
    </w:p>
    <w:p w14:paraId="5B259FD9" w14:textId="21A76ADA" w:rsidR="0036611B" w:rsidRPr="0036611B" w:rsidRDefault="622F60BD" w:rsidP="006C6B86">
      <w:pPr>
        <w:rPr>
          <w:rFonts w:eastAsia="Calibri"/>
        </w:rPr>
      </w:pPr>
      <w:r w:rsidRPr="5F4603D2">
        <w:rPr>
          <w:rFonts w:eastAsia="Calibri"/>
        </w:rPr>
        <w:t xml:space="preserve">There is still uncertainty about the prevalence of PASC in Australia. </w:t>
      </w:r>
      <w:r w:rsidRPr="5F4603D2">
        <w:t xml:space="preserve">In 2022, the Australian Institute of Health and Welfare (AIHW) estimated that 5% to 10% of </w:t>
      </w:r>
    </w:p>
    <w:p w14:paraId="668DB1F1" w14:textId="79C538E3" w:rsidR="0036611B" w:rsidRPr="0036611B" w:rsidRDefault="622F60BD" w:rsidP="006C6B86">
      <w:pPr>
        <w:rPr>
          <w:rFonts w:eastAsia="Calibri"/>
        </w:rPr>
      </w:pPr>
      <w:r w:rsidRPr="00B92A12">
        <w:t>COVID</w:t>
      </w:r>
      <w:r w:rsidR="00AF20D8">
        <w:noBreakHyphen/>
      </w:r>
      <w:r w:rsidRPr="0036611B">
        <w:t>19 cases may develop PASC</w:t>
      </w:r>
      <w:r w:rsidR="0036611B" w:rsidRPr="00A97888">
        <w:rPr>
          <w:rStyle w:val="FootnoteReference"/>
          <w:rFonts w:eastAsia="Arial" w:cs="Arial"/>
        </w:rPr>
        <w:footnoteReference w:id="2"/>
      </w:r>
      <w:r w:rsidR="004052F9" w:rsidRPr="004052F9">
        <w:t>.</w:t>
      </w:r>
      <w:r>
        <w:rPr>
          <w:rStyle w:val="FootnoteReference"/>
          <w:rFonts w:eastAsia="Arial"/>
        </w:rPr>
        <w:t xml:space="preserve"> </w:t>
      </w:r>
      <w:r w:rsidRPr="0036611B">
        <w:t xml:space="preserve">However, these estimates are based on limited data capturing self-reported symptoms. More robust research is required to understand the true </w:t>
      </w:r>
      <w:r w:rsidRPr="00261EE5">
        <w:t>prevalence</w:t>
      </w:r>
      <w:r w:rsidRPr="0036611B">
        <w:t xml:space="preserve"> of PASC in Australia</w:t>
      </w:r>
      <w:r w:rsidRPr="0036611B">
        <w:rPr>
          <w:rFonts w:eastAsia="Calibri"/>
        </w:rPr>
        <w:t xml:space="preserve">. This is particularly important given Australia’s experience </w:t>
      </w:r>
      <w:r w:rsidRPr="00261EE5">
        <w:t>of</w:t>
      </w:r>
      <w:r w:rsidRPr="0036611B">
        <w:rPr>
          <w:rFonts w:eastAsia="Calibri"/>
        </w:rPr>
        <w:t xml:space="preserve"> PASC </w:t>
      </w:r>
      <w:r w:rsidR="48D3ABD9" w:rsidRPr="0036611B">
        <w:rPr>
          <w:rFonts w:eastAsia="Calibri"/>
        </w:rPr>
        <w:t xml:space="preserve">may be </w:t>
      </w:r>
      <w:r w:rsidRPr="0036611B">
        <w:rPr>
          <w:rFonts w:eastAsia="Calibri"/>
        </w:rPr>
        <w:t xml:space="preserve">different to that experienced internationally, due to factors that are unique to our context. </w:t>
      </w:r>
    </w:p>
    <w:p w14:paraId="68C6A12C" w14:textId="3800C0C4" w:rsidR="00261EE5" w:rsidRDefault="543A0204" w:rsidP="006C6B86">
      <w:r w:rsidRPr="0036611B">
        <w:t>Most of Australia’s COVID infections were of the Omicron variant and occurred in a highly vaccinated population, with many individuals having received a primary</w:t>
      </w:r>
      <w:r w:rsidR="00AF20D8">
        <w:t xml:space="preserve"> </w:t>
      </w:r>
      <w:r w:rsidRPr="0036611B">
        <w:t>COVID</w:t>
      </w:r>
      <w:r w:rsidR="00AF20D8">
        <w:noBreakHyphen/>
      </w:r>
      <w:r w:rsidRPr="0036611B">
        <w:t xml:space="preserve">19 vaccination course (two doses) and some a booster dose, prior to initial infection. </w:t>
      </w:r>
      <w:r w:rsidR="086650A1" w:rsidRPr="6FC274B9">
        <w:t xml:space="preserve">This contrasts with the experience of </w:t>
      </w:r>
      <w:r w:rsidR="79786DD4" w:rsidRPr="6FC274B9">
        <w:t>many</w:t>
      </w:r>
      <w:r w:rsidR="086650A1" w:rsidRPr="6FC274B9">
        <w:t xml:space="preserve"> other Organisation for Economic Co-operation and Development (OECD) nations, </w:t>
      </w:r>
      <w:r w:rsidR="65E17405">
        <w:t>which</w:t>
      </w:r>
      <w:r w:rsidR="086650A1" w:rsidRPr="6FC274B9">
        <w:t xml:space="preserve"> experienced </w:t>
      </w:r>
      <w:r w:rsidR="427F9FFC" w:rsidRPr="6FC274B9">
        <w:t xml:space="preserve">significant </w:t>
      </w:r>
      <w:r w:rsidR="5072D44B" w:rsidRPr="6FC274B9">
        <w:t xml:space="preserve">waves of </w:t>
      </w:r>
      <w:r w:rsidR="427F9FFC" w:rsidRPr="6FC274B9">
        <w:t xml:space="preserve">Alpha and Delta </w:t>
      </w:r>
      <w:r w:rsidR="5072D44B" w:rsidRPr="6FC274B9">
        <w:t xml:space="preserve">variant </w:t>
      </w:r>
      <w:r w:rsidR="427F9FFC" w:rsidRPr="6FC274B9">
        <w:t>infection in their populations prior to widespread vaccine and booster availability</w:t>
      </w:r>
      <w:r w:rsidR="086650A1" w:rsidRPr="6FC274B9">
        <w:t xml:space="preserve">. </w:t>
      </w:r>
    </w:p>
    <w:p w14:paraId="6E586F80" w14:textId="60110B30" w:rsidR="003F231A" w:rsidRDefault="0036611B" w:rsidP="006C6B86">
      <w:r w:rsidRPr="0036611B">
        <w:t>Both vaccination against COVD-19,</w:t>
      </w:r>
      <w:r w:rsidR="00977468" w:rsidRPr="00595737">
        <w:rPr>
          <w:rStyle w:val="FootnoteReference"/>
          <w:rFonts w:eastAsia="Arial" w:cs="Arial"/>
        </w:rPr>
        <w:footnoteReference w:id="3"/>
      </w:r>
      <w:r w:rsidR="00977468" w:rsidRPr="009B478C">
        <w:rPr>
          <w:vertAlign w:val="superscript"/>
        </w:rPr>
        <w:t>,</w:t>
      </w:r>
      <w:r w:rsidR="00977468" w:rsidRPr="00595737">
        <w:rPr>
          <w:rStyle w:val="FootnoteReference"/>
          <w:rFonts w:eastAsia="Arial" w:cs="Arial"/>
        </w:rPr>
        <w:footnoteReference w:id="4"/>
      </w:r>
      <w:r w:rsidRPr="00595737">
        <w:rPr>
          <w:rStyle w:val="FootnoteReference"/>
          <w:rFonts w:eastAsia="Arial"/>
        </w:rPr>
        <w:t xml:space="preserve"> </w:t>
      </w:r>
      <w:r w:rsidRPr="0036611B">
        <w:t>and infection with the Omicron variant (compared to Delta),</w:t>
      </w:r>
      <w:r w:rsidR="002E360B" w:rsidRPr="00595737">
        <w:rPr>
          <w:rStyle w:val="FootnoteReference"/>
          <w:rFonts w:eastAsia="Arial" w:cs="Arial"/>
        </w:rPr>
        <w:footnoteReference w:id="5"/>
      </w:r>
      <w:r w:rsidRPr="00595737">
        <w:rPr>
          <w:rStyle w:val="FootnoteReference"/>
          <w:rFonts w:eastAsia="Arial"/>
        </w:rPr>
        <w:t xml:space="preserve"> </w:t>
      </w:r>
      <w:r w:rsidRPr="0036611B">
        <w:t xml:space="preserve">are independently </w:t>
      </w:r>
      <w:r w:rsidRPr="00595737">
        <w:t>associated with a lower risk of developing</w:t>
      </w:r>
      <w:r w:rsidRPr="0036611B">
        <w:t xml:space="preserve"> PASC.</w:t>
      </w:r>
      <w:r w:rsidR="007A20A5" w:rsidRPr="6FC274B9">
        <w:t xml:space="preserve"> Research shows that COVID-19 vaccination is associated with reduced risk of PASC</w:t>
      </w:r>
      <w:r w:rsidR="00145238" w:rsidRPr="00595737">
        <w:rPr>
          <w:rStyle w:val="FootnoteReference"/>
          <w:rFonts w:eastAsia="Arial" w:cs="Arial"/>
        </w:rPr>
        <w:footnoteReference w:id="6"/>
      </w:r>
      <w:r w:rsidR="007A20A5" w:rsidRPr="6FC274B9">
        <w:t>, particularly when vaccination occurs prior to</w:t>
      </w:r>
      <w:r w:rsidR="00A6689A">
        <w:t xml:space="preserve"> having</w:t>
      </w:r>
      <w:r w:rsidR="007A20A5" w:rsidRPr="6FC274B9">
        <w:t xml:space="preserve"> </w:t>
      </w:r>
      <w:r w:rsidR="00A6689A">
        <w:t>COVID-19</w:t>
      </w:r>
      <w:r w:rsidR="007A20A5" w:rsidRPr="00595737">
        <w:rPr>
          <w:rStyle w:val="FootnoteReference"/>
          <w:rFonts w:eastAsia="Arial" w:cs="Arial"/>
        </w:rPr>
        <w:footnoteReference w:id="7"/>
      </w:r>
      <w:r w:rsidR="007A20A5" w:rsidRPr="6FC274B9">
        <w:t>. However, further studies are required to determine the effectiveness of vaccines in treating existing PASC</w:t>
      </w:r>
      <w:r w:rsidR="007A20A5" w:rsidRPr="00595737">
        <w:rPr>
          <w:rStyle w:val="FootnoteReference"/>
          <w:rFonts w:eastAsia="Arial" w:cs="Arial"/>
        </w:rPr>
        <w:footnoteReference w:id="8"/>
      </w:r>
      <w:r w:rsidR="007A20A5" w:rsidRPr="6FC274B9">
        <w:t>.</w:t>
      </w:r>
    </w:p>
    <w:p w14:paraId="08E72002" w14:textId="77777777" w:rsidR="003F231A" w:rsidRDefault="003F231A">
      <w:pPr>
        <w:spacing w:before="0" w:after="160"/>
      </w:pPr>
      <w:r>
        <w:br w:type="page"/>
      </w:r>
    </w:p>
    <w:p w14:paraId="6E278A8E" w14:textId="51BA6408" w:rsidR="00190D39" w:rsidRPr="00595737" w:rsidRDefault="00190D39" w:rsidP="00807620">
      <w:pPr>
        <w:pStyle w:val="Heading1"/>
        <w:spacing w:before="0" w:after="120" w:line="276" w:lineRule="auto"/>
      </w:pPr>
      <w:bookmarkStart w:id="6" w:name="_Toc157771507"/>
      <w:r w:rsidRPr="00595737">
        <w:lastRenderedPageBreak/>
        <w:t>Definition of PASC</w:t>
      </w:r>
      <w:bookmarkEnd w:id="6"/>
    </w:p>
    <w:p w14:paraId="7DFB5A20" w14:textId="193DE082" w:rsidR="00190D39" w:rsidRPr="0036611B" w:rsidRDefault="00190D39" w:rsidP="006C6B86">
      <w:r w:rsidRPr="6FC274B9">
        <w:t xml:space="preserve">Agreement to a nationally consistent PASC definition is a key enabler for the overarching aims of the National PASC Plan. </w:t>
      </w:r>
      <w:r w:rsidR="00A34D69" w:rsidRPr="6FC274B9">
        <w:t>As recommended by the Inquiry’s final report</w:t>
      </w:r>
      <w:r w:rsidRPr="6FC274B9">
        <w:t>, the World Health Organization’s (WHO) definition of ‘</w:t>
      </w:r>
      <w:hyperlink r:id="rId13">
        <w:r w:rsidRPr="6FC274B9">
          <w:rPr>
            <w:rStyle w:val="Hyperlink"/>
            <w:rFonts w:cs="Arial"/>
          </w:rPr>
          <w:t>post COVID-19 condition</w:t>
        </w:r>
      </w:hyperlink>
      <w:r w:rsidRPr="6FC274B9">
        <w:t>’</w:t>
      </w:r>
      <w:r w:rsidR="00984950">
        <w:t xml:space="preserve"> </w:t>
      </w:r>
      <w:r w:rsidRPr="6FC274B9">
        <w:t>will be used to define PASC in Australia</w:t>
      </w:r>
      <w:r w:rsidR="003E04C3">
        <w:t>.</w:t>
      </w:r>
      <w:r w:rsidRPr="6FC274B9">
        <w:t xml:space="preserve"> </w:t>
      </w:r>
      <w:r w:rsidR="003E04C3" w:rsidRPr="003E04C3">
        <w:t xml:space="preserve"> As new research and evidence emerges, the definition may need to be reviewed.</w:t>
      </w:r>
    </w:p>
    <w:p w14:paraId="2EBD773C" w14:textId="53931BA4" w:rsidR="00190D39" w:rsidRPr="004B1855" w:rsidRDefault="00190D39" w:rsidP="006C6B86">
      <w:pPr>
        <w:rPr>
          <w:rFonts w:eastAsia="Calibri"/>
          <w:color w:val="000000" w:themeColor="text1"/>
          <w:lang w:val="en-US"/>
        </w:rPr>
      </w:pPr>
      <w:r w:rsidRPr="0036611B">
        <w:t>Aligned with the WHO definition, the term ‘PASC</w:t>
      </w:r>
      <w:r w:rsidR="00B46A35">
        <w:t>’</w:t>
      </w:r>
      <w:r w:rsidRPr="0036611B">
        <w:t xml:space="preserve"> has been used in this document to represent individuals who have new or ongoing symptoms twelve weeks after being infected with SARS-CoV-2, that are not explained by an alternative diagnosis.</w:t>
      </w:r>
      <w:r>
        <w:rPr>
          <w:rFonts w:eastAsia="Calibri"/>
          <w:color w:val="000000" w:themeColor="text1"/>
          <w:lang w:val="en-US"/>
        </w:rPr>
        <w:t xml:space="preserve"> </w:t>
      </w:r>
    </w:p>
    <w:p w14:paraId="5ED7D878" w14:textId="6775855E" w:rsidR="00190D39" w:rsidRDefault="00611A9B" w:rsidP="006C6B86">
      <w:r>
        <w:t xml:space="preserve">The term </w:t>
      </w:r>
      <w:r w:rsidR="00190D39" w:rsidRPr="0036611B">
        <w:t>PASC encompass</w:t>
      </w:r>
      <w:r>
        <w:t>es</w:t>
      </w:r>
      <w:r w:rsidR="00190D39" w:rsidRPr="0036611B">
        <w:t xml:space="preserve"> the range of presentations and</w:t>
      </w:r>
      <w:r w:rsidR="00190D39">
        <w:t xml:space="preserve"> </w:t>
      </w:r>
      <w:r w:rsidR="00190D39" w:rsidRPr="0036611B">
        <w:t>symptoms that can be experienced after the acute phase of COVID-19,</w:t>
      </w:r>
      <w:r w:rsidR="00190D39" w:rsidRPr="00904A21">
        <w:rPr>
          <w:rStyle w:val="FootnoteReference"/>
          <w:rFonts w:eastAsia="Calibri" w:cs="Arial"/>
          <w:color w:val="000000" w:themeColor="text1"/>
          <w:lang w:val="en-US"/>
        </w:rPr>
        <w:t xml:space="preserve"> </w:t>
      </w:r>
      <w:r w:rsidR="00190D39" w:rsidRPr="0036611B">
        <w:t>and recognises the potential long-term impact of COVID-19 on different systems in the body. Long COVID is a term used commonly in the community to describe both ongoing symptomatic COVID-19 (symptoms lasting more than four weeks) and PASC.</w:t>
      </w:r>
    </w:p>
    <w:p w14:paraId="46D736F6" w14:textId="3A21BB70" w:rsidR="00D043C9" w:rsidRDefault="00D043C9" w:rsidP="006C6B86">
      <w:r>
        <w:br w:type="page"/>
      </w:r>
    </w:p>
    <w:p w14:paraId="5A7FC563" w14:textId="77777777" w:rsidR="00A6689A" w:rsidRPr="00925A05" w:rsidRDefault="00A6689A" w:rsidP="00B22483">
      <w:pPr>
        <w:pStyle w:val="Heading1"/>
        <w:spacing w:before="0" w:after="120" w:line="276" w:lineRule="auto"/>
      </w:pPr>
      <w:bookmarkStart w:id="7" w:name="_Toc157771508"/>
      <w:r>
        <w:lastRenderedPageBreak/>
        <w:t>The patient experience of PASC</w:t>
      </w:r>
      <w:bookmarkEnd w:id="7"/>
    </w:p>
    <w:p w14:paraId="72C44AD7" w14:textId="6691EDA4" w:rsidR="00A6689A" w:rsidRDefault="00A6689A" w:rsidP="006C6B86">
      <w:r>
        <w:t xml:space="preserve">The Government recognises </w:t>
      </w:r>
      <w:r w:rsidRPr="2F5C2BD1">
        <w:t>PASC is a complex and multi-system illness</w:t>
      </w:r>
      <w:r w:rsidR="000E7930">
        <w:t>,</w:t>
      </w:r>
      <w:r w:rsidRPr="2F5C2BD1">
        <w:t xml:space="preserve"> and the duration of </w:t>
      </w:r>
      <w:r w:rsidRPr="00C87459">
        <w:t>symptoms</w:t>
      </w:r>
      <w:r w:rsidRPr="2F5C2BD1">
        <w:t xml:space="preserve"> varies. </w:t>
      </w:r>
      <w:r>
        <w:t>E</w:t>
      </w:r>
      <w:r w:rsidRPr="2F5C2BD1">
        <w:t>very person</w:t>
      </w:r>
      <w:r w:rsidR="00BB3364">
        <w:t xml:space="preserve"> </w:t>
      </w:r>
      <w:r w:rsidRPr="2F5C2BD1">
        <w:t xml:space="preserve">with PASC will have a unique experience, with </w:t>
      </w:r>
      <w:r w:rsidRPr="00261EE5">
        <w:t>differing</w:t>
      </w:r>
      <w:r w:rsidRPr="2F5C2BD1">
        <w:t xml:space="preserve"> </w:t>
      </w:r>
      <w:r>
        <w:t>management</w:t>
      </w:r>
      <w:r w:rsidRPr="2F5C2BD1">
        <w:t xml:space="preserve"> and </w:t>
      </w:r>
      <w:r>
        <w:t>support</w:t>
      </w:r>
      <w:r w:rsidRPr="2F5C2BD1">
        <w:t xml:space="preserve"> needs</w:t>
      </w:r>
      <w:r w:rsidR="00D95EA8" w:rsidRPr="2F5C2BD1">
        <w:t xml:space="preserve">. </w:t>
      </w:r>
      <w:r w:rsidR="00636F23" w:rsidRPr="00636F23">
        <w:t>Additionally, factors such as socioeconomic position, conditions of employment, the distribution of wealth, education, housing</w:t>
      </w:r>
      <w:r w:rsidR="00500676">
        <w:t xml:space="preserve">, </w:t>
      </w:r>
      <w:proofErr w:type="gramStart"/>
      <w:r w:rsidR="00500676">
        <w:t>ethnicity</w:t>
      </w:r>
      <w:proofErr w:type="gramEnd"/>
      <w:r w:rsidR="00636F23" w:rsidRPr="00636F23">
        <w:t xml:space="preserve"> and social support – known collectively as the social determinants of health – may also affect the patient experience of people who have PASC.</w:t>
      </w:r>
    </w:p>
    <w:p w14:paraId="6F781F2D" w14:textId="4D2F132A" w:rsidR="00A6689A" w:rsidRDefault="2D82EE47" w:rsidP="006C6B86">
      <w:r w:rsidRPr="03C9B618">
        <w:t xml:space="preserve">It is known that </w:t>
      </w:r>
      <w:r w:rsidR="00A6689A" w:rsidRPr="03C9B618">
        <w:t>PASC</w:t>
      </w:r>
      <w:r w:rsidR="00A6689A" w:rsidRPr="2F5C2BD1">
        <w:t xml:space="preserve"> patient presentation can vary greatly, with more than 200 symptoms recognised across the </w:t>
      </w:r>
      <w:r w:rsidR="00A6689A" w:rsidRPr="00C87459">
        <w:t>literature</w:t>
      </w:r>
      <w:r w:rsidR="00A6689A" w:rsidRPr="2F5C2BD1">
        <w:t xml:space="preserve">. Like other chronic conditions, PASC symptoms can be episodic and may fluctuate and/or relapse over time and this can make diagnosis and </w:t>
      </w:r>
      <w:r w:rsidR="00A6689A" w:rsidRPr="00261EE5">
        <w:t>management</w:t>
      </w:r>
      <w:r w:rsidR="00A6689A" w:rsidRPr="2F5C2BD1">
        <w:t xml:space="preserve"> more challenging. </w:t>
      </w:r>
    </w:p>
    <w:p w14:paraId="392EFBD4" w14:textId="6054E00A" w:rsidR="00A6689A" w:rsidRPr="003F231A" w:rsidRDefault="00A6689A" w:rsidP="003F231A">
      <w:r w:rsidRPr="193334BD">
        <w:t xml:space="preserve">Most people with PASC </w:t>
      </w:r>
      <w:r>
        <w:t>can</w:t>
      </w:r>
      <w:r w:rsidRPr="193334BD">
        <w:t xml:space="preserve"> be supported through primary care services. </w:t>
      </w:r>
      <w:r>
        <w:t xml:space="preserve">To best respond to </w:t>
      </w:r>
      <w:r w:rsidRPr="00261EE5">
        <w:t>the</w:t>
      </w:r>
      <w:r>
        <w:t xml:space="preserve"> needs of people with PASC, it is important to ensure </w:t>
      </w:r>
      <w:r w:rsidRPr="193334BD">
        <w:t>co-design</w:t>
      </w:r>
      <w:r>
        <w:t xml:space="preserve"> of</w:t>
      </w:r>
      <w:r w:rsidRPr="193334BD">
        <w:t xml:space="preserve"> optimal care pathways with patients and healthcare providers.</w:t>
      </w:r>
      <w:r w:rsidRPr="00AA6DFA">
        <w:t xml:space="preserve"> The strategic priorities outlined in this plan recognise this need and focus on improving primary care-based models of care; providing the health care sector and community with information; and supporting research to guide clinical care. </w:t>
      </w:r>
      <w:r w:rsidR="001B0471">
        <w:t xml:space="preserve">The </w:t>
      </w:r>
      <w:r w:rsidR="00023F2B">
        <w:t>typical</w:t>
      </w:r>
      <w:r w:rsidRPr="00AA6DFA">
        <w:t xml:space="preserve"> supports for people with PASC</w:t>
      </w:r>
      <w:r w:rsidR="001B0471">
        <w:t xml:space="preserve"> are </w:t>
      </w:r>
      <w:r w:rsidR="004F2ACD">
        <w:t>as follows</w:t>
      </w:r>
      <w:r w:rsidRPr="00AA6DFA">
        <w:t>.</w:t>
      </w:r>
    </w:p>
    <w:p w14:paraId="28E1E254" w14:textId="021CD9B3" w:rsidR="00D20CEB" w:rsidRDefault="00295D92" w:rsidP="00295D92">
      <w:pPr>
        <w:spacing w:after="0" w:line="276" w:lineRule="auto"/>
        <w:jc w:val="center"/>
        <w:rPr>
          <w:rFonts w:cs="Arial"/>
        </w:rPr>
      </w:pPr>
      <w:r w:rsidRPr="00295D92">
        <w:rPr>
          <w:rFonts w:cs="Arial"/>
          <w:noProof/>
        </w:rPr>
        <w:drawing>
          <wp:inline distT="0" distB="0" distL="0" distR="0" wp14:anchorId="2653B862" wp14:editId="75DB8A6B">
            <wp:extent cx="4550734" cy="4245782"/>
            <wp:effectExtent l="0" t="0" r="2540" b="2540"/>
            <wp:docPr id="12" name="Picture 12" descr="A diagram showing a group of people surrounded by a circle composed of six bubbles, each of which details an example of typical supports for people with PASC. These supports include: primary care provider, carers and family, mental health supports, specialist services (if required), allied health (if required), community support groups, and self-manag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diagram showing a group of people surrounded by a circle composed of six bubbles, each of which details an example of typical supports for people with PASC. These supports include: primary care provider, carers and family, mental health supports, specialist services (if required), allied health (if required), community support groups, and self-managed resourc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6997" cy="4260955"/>
                    </a:xfrm>
                    <a:prstGeom prst="rect">
                      <a:avLst/>
                    </a:prstGeom>
                    <a:noFill/>
                    <a:ln>
                      <a:noFill/>
                    </a:ln>
                  </pic:spPr>
                </pic:pic>
              </a:graphicData>
            </a:graphic>
          </wp:inline>
        </w:drawing>
      </w:r>
    </w:p>
    <w:p w14:paraId="3B7D36CF" w14:textId="77777777" w:rsidR="00D20CEB" w:rsidRPr="00296845" w:rsidRDefault="00D20CEB" w:rsidP="00B22483">
      <w:pPr>
        <w:pStyle w:val="Heading1"/>
        <w:spacing w:before="0" w:after="120" w:line="276" w:lineRule="auto"/>
      </w:pPr>
      <w:bookmarkStart w:id="8" w:name="_Toc137202812"/>
      <w:bookmarkStart w:id="9" w:name="_Toc157771509"/>
      <w:r w:rsidRPr="00296845">
        <w:lastRenderedPageBreak/>
        <w:t>Inquiry into Long COVID and Repeated COVID Infections</w:t>
      </w:r>
      <w:bookmarkEnd w:id="9"/>
    </w:p>
    <w:p w14:paraId="4DAC6E94" w14:textId="43381C79" w:rsidR="00D20CEB" w:rsidRPr="006245A9" w:rsidRDefault="00D20CEB" w:rsidP="006C6B86">
      <w:pPr>
        <w:rPr>
          <w:b/>
          <w:bCs/>
        </w:rPr>
      </w:pPr>
      <w:r w:rsidRPr="612F1B4B">
        <w:t xml:space="preserve">Following a referral on 1 September 2022 from the Minister for Health and Aged Care, </w:t>
      </w:r>
      <w:r>
        <w:t xml:space="preserve">the Hon. Mark Butler MP, </w:t>
      </w:r>
      <w:r w:rsidRPr="612F1B4B">
        <w:t xml:space="preserve">the House Standing Committee on Health, Aged Care and Sport (Committee) held an Inquiry into Long COVID and Repeated COVID Infections (Inquiry). </w:t>
      </w:r>
      <w:r>
        <w:t xml:space="preserve">The final report was tabled on 19 April 2023, having been informed by </w:t>
      </w:r>
      <w:r w:rsidR="00C010E0">
        <w:t xml:space="preserve">almost 600 </w:t>
      </w:r>
      <w:r w:rsidRPr="612F1B4B">
        <w:t xml:space="preserve">submissions and </w:t>
      </w:r>
      <w:r>
        <w:t>testimonies from</w:t>
      </w:r>
      <w:r w:rsidRPr="612F1B4B">
        <w:t xml:space="preserve"> various stakeholders including individuals, community groups, leading health experts, prominent public health organisations and state and territory health departments.</w:t>
      </w:r>
      <w:r w:rsidR="000A5CB6">
        <w:t xml:space="preserve"> </w:t>
      </w:r>
      <w:r w:rsidR="00C546DC">
        <w:t>For more information about the Inquiry</w:t>
      </w:r>
      <w:r w:rsidR="005C1DDC">
        <w:t>,</w:t>
      </w:r>
      <w:r w:rsidR="00D033AC">
        <w:t xml:space="preserve"> please see</w:t>
      </w:r>
      <w:r w:rsidR="008E35B6">
        <w:t xml:space="preserve"> the </w:t>
      </w:r>
      <w:hyperlink r:id="rId15" w:history="1">
        <w:r w:rsidR="009C4428">
          <w:rPr>
            <w:rStyle w:val="Hyperlink"/>
            <w:rFonts w:cs="Arial"/>
          </w:rPr>
          <w:t>Parliament of Australia website</w:t>
        </w:r>
      </w:hyperlink>
      <w:r w:rsidR="008E35B6">
        <w:t xml:space="preserve">. </w:t>
      </w:r>
    </w:p>
    <w:p w14:paraId="6B1AF343" w14:textId="2CBC8FA8" w:rsidR="00D20CEB" w:rsidRPr="00C165B0" w:rsidRDefault="00D20CEB" w:rsidP="006C6B86">
      <w:r w:rsidRPr="6FC274B9">
        <w:t xml:space="preserve">The Government recognises that another aspect of Australia’s COVID-19 recovery is our response to PASC. Several health reforms and initiatives are already underway </w:t>
      </w:r>
      <w:r w:rsidR="00B00A7B">
        <w:t>that will</w:t>
      </w:r>
      <w:r w:rsidR="00B00A7B" w:rsidRPr="6FC274B9">
        <w:t xml:space="preserve"> </w:t>
      </w:r>
      <w:r w:rsidRPr="6FC274B9">
        <w:t xml:space="preserve">support people with PASC, and the Government remains focused on research initiatives to build Australia’s understanding of PASC and guide longer term policy. </w:t>
      </w:r>
    </w:p>
    <w:p w14:paraId="03F346D5" w14:textId="1EB73951" w:rsidR="00D20CEB" w:rsidRDefault="00D20CEB" w:rsidP="006C6B86">
      <w:pPr>
        <w:rPr>
          <w:lang w:val="en-US"/>
        </w:rPr>
      </w:pPr>
      <w:r>
        <w:rPr>
          <w:lang w:val="en-US"/>
        </w:rPr>
        <w:t>The</w:t>
      </w:r>
      <w:r w:rsidRPr="612F1B4B">
        <w:rPr>
          <w:lang w:val="en-US"/>
        </w:rPr>
        <w:t xml:space="preserve"> </w:t>
      </w:r>
      <w:r w:rsidRPr="00261EE5">
        <w:t>National</w:t>
      </w:r>
      <w:r w:rsidRPr="612F1B4B">
        <w:rPr>
          <w:lang w:val="en-US"/>
        </w:rPr>
        <w:t xml:space="preserve"> PASC Plan </w:t>
      </w:r>
      <w:r>
        <w:rPr>
          <w:lang w:val="en-US"/>
        </w:rPr>
        <w:t>complements the Australian Government’s response to the Inquiry</w:t>
      </w:r>
      <w:r w:rsidRPr="612F1B4B">
        <w:rPr>
          <w:lang w:val="en-US"/>
        </w:rPr>
        <w:t xml:space="preserve"> and provides a framework for how the health system will respond to PASC in Australia. </w:t>
      </w:r>
    </w:p>
    <w:p w14:paraId="501C2F0E" w14:textId="75BB75A4" w:rsidR="0043038D" w:rsidRPr="00C165B0" w:rsidRDefault="0043038D" w:rsidP="00B22483">
      <w:pPr>
        <w:pStyle w:val="Heading1"/>
        <w:spacing w:before="0" w:after="120" w:line="276" w:lineRule="auto"/>
      </w:pPr>
      <w:bookmarkStart w:id="10" w:name="_Toc157771510"/>
      <w:r>
        <w:t>Our Commitment</w:t>
      </w:r>
      <w:bookmarkEnd w:id="8"/>
      <w:bookmarkEnd w:id="10"/>
    </w:p>
    <w:p w14:paraId="2CCD3AF4" w14:textId="22169A88" w:rsidR="0043038D" w:rsidRDefault="007E4864" w:rsidP="0043038D">
      <w:pPr>
        <w:spacing w:line="276" w:lineRule="auto"/>
        <w:rPr>
          <w:rFonts w:eastAsia="Arial" w:cs="Arial"/>
          <w:lang w:val="en-US"/>
        </w:rPr>
      </w:pPr>
      <w:r>
        <w:rPr>
          <w:rFonts w:eastAsia="Arial" w:cs="Arial"/>
          <w:color w:val="000000" w:themeColor="text1"/>
          <w:lang w:val="en-US"/>
        </w:rPr>
        <w:t>In responding to PASC, t</w:t>
      </w:r>
      <w:r w:rsidR="0043038D" w:rsidRPr="612F1B4B">
        <w:rPr>
          <w:rFonts w:eastAsia="Arial" w:cs="Arial"/>
          <w:color w:val="000000" w:themeColor="text1"/>
          <w:lang w:val="en-US"/>
        </w:rPr>
        <w:t xml:space="preserve">he Government is committed </w:t>
      </w:r>
      <w:r w:rsidR="000E0B02">
        <w:rPr>
          <w:rFonts w:eastAsia="Arial" w:cs="Arial"/>
          <w:color w:val="000000" w:themeColor="text1"/>
          <w:lang w:val="en-US"/>
        </w:rPr>
        <w:t xml:space="preserve">to </w:t>
      </w:r>
      <w:r w:rsidR="00FD4DD2">
        <w:rPr>
          <w:rFonts w:eastAsia="Arial" w:cs="Arial"/>
          <w:color w:val="000000" w:themeColor="text1"/>
          <w:lang w:val="en-US"/>
        </w:rPr>
        <w:t>ensuring</w:t>
      </w:r>
      <w:r w:rsidR="0043038D" w:rsidRPr="612F1B4B">
        <w:rPr>
          <w:rFonts w:eastAsia="Arial" w:cs="Arial"/>
          <w:color w:val="000000" w:themeColor="text1"/>
          <w:lang w:val="en-US"/>
        </w:rPr>
        <w:t xml:space="preserve"> that</w:t>
      </w:r>
      <w:r w:rsidR="0043038D" w:rsidRPr="612F1B4B">
        <w:rPr>
          <w:rFonts w:eastAsia="Arial" w:cs="Arial"/>
          <w:lang w:val="en-US"/>
        </w:rPr>
        <w:t>:</w:t>
      </w:r>
    </w:p>
    <w:p w14:paraId="5DE0288E" w14:textId="77777777" w:rsidR="003F231A" w:rsidRDefault="003F231A" w:rsidP="003F231A">
      <w:pPr>
        <w:pStyle w:val="ListBullet2"/>
        <w:rPr>
          <w:lang w:val="en-US"/>
        </w:rPr>
      </w:pPr>
      <w:r w:rsidRPr="003F231A">
        <w:rPr>
          <w:lang w:val="en-US"/>
        </w:rPr>
        <w:t>All people with PASC, their families and carers, can readily access support, care, and treatment to achieve their best possible health and wellbeing outcomes; and</w:t>
      </w:r>
    </w:p>
    <w:p w14:paraId="38C2CFA5" w14:textId="0476D543" w:rsidR="003F231A" w:rsidRPr="003F231A" w:rsidRDefault="003F231A" w:rsidP="003F231A">
      <w:pPr>
        <w:pStyle w:val="ListBullet2"/>
        <w:rPr>
          <w:lang w:val="en-US"/>
        </w:rPr>
      </w:pPr>
      <w:r w:rsidRPr="003F231A">
        <w:rPr>
          <w:rFonts w:eastAsia="Arial" w:cs="Arial"/>
          <w:lang w:val="en-US"/>
        </w:rPr>
        <w:t>A strong healthcare system that can deliver effective patient-</w:t>
      </w:r>
      <w:proofErr w:type="spellStart"/>
      <w:r w:rsidRPr="003F231A">
        <w:rPr>
          <w:rFonts w:eastAsia="Arial" w:cs="Arial"/>
          <w:lang w:val="en-US"/>
        </w:rPr>
        <w:t>centred</w:t>
      </w:r>
      <w:proofErr w:type="spellEnd"/>
      <w:r w:rsidRPr="003F231A">
        <w:rPr>
          <w:rFonts w:eastAsia="Arial" w:cs="Arial"/>
          <w:lang w:val="en-US"/>
        </w:rPr>
        <w:t xml:space="preserve"> care to people with PASC, when and where they need it.</w:t>
      </w:r>
    </w:p>
    <w:p w14:paraId="2B7C1D6F" w14:textId="53AB9416" w:rsidR="00495C53" w:rsidRDefault="007E4864" w:rsidP="005F0EA7">
      <w:pPr>
        <w:spacing w:line="276" w:lineRule="auto"/>
        <w:rPr>
          <w:rFonts w:eastAsia="Arial" w:cs="Arial"/>
          <w:color w:val="000000" w:themeColor="text1"/>
          <w:lang w:val="en-US"/>
        </w:rPr>
      </w:pPr>
      <w:bookmarkStart w:id="11" w:name="_Toc137202813"/>
      <w:r w:rsidRPr="1DF03370">
        <w:rPr>
          <w:rFonts w:eastAsia="Arial" w:cs="Arial"/>
          <w:color w:val="000000" w:themeColor="text1"/>
          <w:lang w:val="en-US"/>
        </w:rPr>
        <w:t xml:space="preserve">The Government </w:t>
      </w:r>
      <w:r>
        <w:rPr>
          <w:rFonts w:eastAsia="Arial" w:cs="Arial"/>
          <w:color w:val="000000" w:themeColor="text1"/>
          <w:lang w:val="en-US"/>
        </w:rPr>
        <w:t>is also committed to</w:t>
      </w:r>
      <w:r w:rsidRPr="1DF03370">
        <w:rPr>
          <w:rFonts w:eastAsia="Arial" w:cs="Arial"/>
          <w:color w:val="000000" w:themeColor="text1"/>
          <w:lang w:val="en-US"/>
        </w:rPr>
        <w:t xml:space="preserve"> contin</w:t>
      </w:r>
      <w:r>
        <w:rPr>
          <w:rFonts w:eastAsia="Arial" w:cs="Arial"/>
          <w:color w:val="000000" w:themeColor="text1"/>
          <w:lang w:val="en-US"/>
        </w:rPr>
        <w:t>uing</w:t>
      </w:r>
      <w:r w:rsidRPr="1DF03370">
        <w:rPr>
          <w:rFonts w:eastAsia="Arial" w:cs="Arial"/>
          <w:color w:val="000000" w:themeColor="text1"/>
          <w:lang w:val="en-US"/>
        </w:rPr>
        <w:t xml:space="preserve"> to support initiatives that reduce the incidence and severity of COVID-19 infection, and through this the number of people who develop PASC</w:t>
      </w:r>
      <w:r>
        <w:rPr>
          <w:rFonts w:eastAsia="Arial" w:cs="Arial"/>
          <w:color w:val="000000" w:themeColor="text1"/>
          <w:lang w:val="en-US"/>
        </w:rPr>
        <w:t>.</w:t>
      </w:r>
      <w:r w:rsidR="008023C2">
        <w:rPr>
          <w:rFonts w:eastAsia="Arial" w:cs="Arial"/>
          <w:color w:val="000000" w:themeColor="text1"/>
          <w:lang w:val="en-US"/>
        </w:rPr>
        <w:t xml:space="preserve"> See </w:t>
      </w:r>
      <w:hyperlink w:anchor="_Our_ongoing_COVID-19" w:history="1">
        <w:r w:rsidR="008023C2" w:rsidRPr="00495C53">
          <w:rPr>
            <w:rStyle w:val="Hyperlink"/>
            <w:rFonts w:eastAsia="Arial" w:cs="Arial"/>
            <w:lang w:val="en-US"/>
          </w:rPr>
          <w:t>Our ongoing COVID-19 response</w:t>
        </w:r>
      </w:hyperlink>
      <w:r w:rsidR="008023C2">
        <w:rPr>
          <w:rFonts w:eastAsia="Arial" w:cs="Arial"/>
          <w:color w:val="000000" w:themeColor="text1"/>
          <w:lang w:val="en-US"/>
        </w:rPr>
        <w:t xml:space="preserve"> for more information. </w:t>
      </w:r>
      <w:r w:rsidR="00495C53">
        <w:rPr>
          <w:rFonts w:eastAsia="Arial" w:cs="Arial"/>
          <w:color w:val="000000" w:themeColor="text1"/>
          <w:lang w:val="en-US"/>
        </w:rPr>
        <w:br w:type="page"/>
      </w:r>
    </w:p>
    <w:p w14:paraId="6526FCC4" w14:textId="6E937F00" w:rsidR="00321D95" w:rsidRDefault="00EA2BB0" w:rsidP="008079F0">
      <w:pPr>
        <w:pStyle w:val="Heading1"/>
        <w:spacing w:after="120" w:line="276" w:lineRule="auto"/>
      </w:pPr>
      <w:bookmarkStart w:id="12" w:name="_Toc157771511"/>
      <w:r>
        <w:lastRenderedPageBreak/>
        <w:t xml:space="preserve">Strategic </w:t>
      </w:r>
      <w:bookmarkEnd w:id="11"/>
      <w:r w:rsidR="004B0A27">
        <w:t>priorities</w:t>
      </w:r>
      <w:bookmarkEnd w:id="12"/>
    </w:p>
    <w:p w14:paraId="4705FC5F" w14:textId="5C702D97" w:rsidR="004A49F8" w:rsidRDefault="004A49F8" w:rsidP="004A49F8">
      <w:pPr>
        <w:rPr>
          <w:rFonts w:cs="Arial"/>
        </w:rPr>
      </w:pPr>
      <w:r w:rsidRPr="00FF21E1">
        <w:rPr>
          <w:rFonts w:cs="Arial"/>
        </w:rPr>
        <w:t xml:space="preserve">The strategic </w:t>
      </w:r>
      <w:r w:rsidR="00104580">
        <w:rPr>
          <w:rFonts w:cs="Arial"/>
        </w:rPr>
        <w:t>priorities</w:t>
      </w:r>
      <w:r w:rsidRPr="00FF21E1">
        <w:rPr>
          <w:rFonts w:cs="Arial"/>
        </w:rPr>
        <w:t xml:space="preserve"> of the National PASC Plan </w:t>
      </w:r>
      <w:r w:rsidR="004B0A27">
        <w:rPr>
          <w:rFonts w:cs="Arial"/>
        </w:rPr>
        <w:t>include</w:t>
      </w:r>
      <w:r w:rsidRPr="00FF21E1">
        <w:rPr>
          <w:rFonts w:cs="Arial"/>
        </w:rPr>
        <w:t>:</w:t>
      </w:r>
    </w:p>
    <w:p w14:paraId="5DF54972" w14:textId="50FB3890" w:rsidR="003F231A" w:rsidRPr="003F231A" w:rsidRDefault="003F231A" w:rsidP="003F231A">
      <w:pPr>
        <w:pStyle w:val="ListContinue"/>
      </w:pPr>
      <w:r>
        <w:rPr>
          <w:rFonts w:eastAsia="Calibri"/>
          <w:noProof/>
          <w:lang w:eastAsia="en-AU"/>
        </w:rPr>
        <w:drawing>
          <wp:inline distT="0" distB="0" distL="0" distR="0" wp14:anchorId="06816A97" wp14:editId="07093510">
            <wp:extent cx="360000" cy="360000"/>
            <wp:effectExtent l="0" t="0" r="2540" b="2540"/>
            <wp:docPr id="6" name="Graphic 6"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Badge 1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60000" cy="360000"/>
                    </a:xfrm>
                    <a:prstGeom prst="rect">
                      <a:avLst/>
                    </a:prstGeom>
                  </pic:spPr>
                </pic:pic>
              </a:graphicData>
            </a:graphic>
          </wp:inline>
        </w:drawing>
      </w:r>
      <w:r>
        <w:tab/>
      </w:r>
      <w:r w:rsidRPr="003F231A">
        <w:t>Improving primary-care-based models of care available to people with PASC.</w:t>
      </w:r>
    </w:p>
    <w:p w14:paraId="260F809E" w14:textId="5890C753" w:rsidR="003F231A" w:rsidRPr="003F231A" w:rsidRDefault="003F231A" w:rsidP="003F231A">
      <w:pPr>
        <w:pStyle w:val="ListContinue"/>
      </w:pPr>
      <w:r>
        <w:rPr>
          <w:rFonts w:eastAsia="Calibri"/>
          <w:noProof/>
          <w:lang w:eastAsia="en-AU"/>
        </w:rPr>
        <w:drawing>
          <wp:inline distT="0" distB="0" distL="0" distR="0" wp14:anchorId="57CEAA61" wp14:editId="3031E7E5">
            <wp:extent cx="359410" cy="359410"/>
            <wp:effectExtent l="0" t="0" r="2540" b="2540"/>
            <wp:docPr id="11" name="Graphic 11"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59410" cy="359410"/>
                    </a:xfrm>
                    <a:prstGeom prst="rect">
                      <a:avLst/>
                    </a:prstGeom>
                  </pic:spPr>
                </pic:pic>
              </a:graphicData>
            </a:graphic>
          </wp:inline>
        </w:drawing>
      </w:r>
      <w:r>
        <w:tab/>
      </w:r>
      <w:r w:rsidRPr="003F231A">
        <w:t>Informing the health sector and the community about PASC.</w:t>
      </w:r>
    </w:p>
    <w:p w14:paraId="6942B06C" w14:textId="03A79E1D" w:rsidR="0030056D" w:rsidRDefault="003F231A" w:rsidP="003F231A">
      <w:pPr>
        <w:pStyle w:val="ListContinue"/>
        <w:ind w:left="567" w:hanging="567"/>
      </w:pPr>
      <w:r>
        <w:rPr>
          <w:rFonts w:eastAsia="Calibri"/>
          <w:noProof/>
          <w:lang w:eastAsia="en-AU"/>
        </w:rPr>
        <w:drawing>
          <wp:inline distT="0" distB="0" distL="0" distR="0" wp14:anchorId="7412FB66" wp14:editId="508D481B">
            <wp:extent cx="360000" cy="360000"/>
            <wp:effectExtent l="0" t="0" r="2540" b="2540"/>
            <wp:docPr id="16" name="Graphic 16"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3 outlin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60000" cy="360000"/>
                    </a:xfrm>
                    <a:prstGeom prst="rect">
                      <a:avLst/>
                    </a:prstGeom>
                  </pic:spPr>
                </pic:pic>
              </a:graphicData>
            </a:graphic>
          </wp:inline>
        </w:drawing>
      </w:r>
      <w:r>
        <w:tab/>
      </w:r>
      <w:r w:rsidRPr="003F231A">
        <w:t>Supporting research to increase our knowledge of PASC and guide future policy and clinical care.</w:t>
      </w:r>
      <w:bookmarkStart w:id="13" w:name="_Toc136588405"/>
      <w:bookmarkStart w:id="14" w:name="_Toc137202814"/>
    </w:p>
    <w:p w14:paraId="05DEF28F" w14:textId="6C5A8F91" w:rsidR="0036611B" w:rsidRPr="00C165B0" w:rsidRDefault="0036611B" w:rsidP="00261EE5">
      <w:pPr>
        <w:pStyle w:val="Heading1"/>
        <w:spacing w:before="0" w:after="120" w:line="276" w:lineRule="auto"/>
      </w:pPr>
      <w:bookmarkStart w:id="15" w:name="_Toc157771512"/>
      <w:r>
        <w:t>Principles</w:t>
      </w:r>
      <w:bookmarkEnd w:id="13"/>
      <w:bookmarkEnd w:id="14"/>
      <w:bookmarkEnd w:id="15"/>
    </w:p>
    <w:p w14:paraId="123178E3" w14:textId="25FCEE5D" w:rsidR="00884A31" w:rsidRDefault="0036611B" w:rsidP="00F46042">
      <w:pPr>
        <w:spacing w:line="276" w:lineRule="auto"/>
        <w:rPr>
          <w:rFonts w:cs="Arial"/>
        </w:rPr>
      </w:pPr>
      <w:r w:rsidRPr="0036611B">
        <w:rPr>
          <w:rFonts w:cs="Arial"/>
        </w:rPr>
        <w:t xml:space="preserve">The Government’s response to PASC in </w:t>
      </w:r>
      <w:r w:rsidR="009C15A1" w:rsidRPr="0036611B">
        <w:rPr>
          <w:rFonts w:cs="Arial"/>
        </w:rPr>
        <w:t xml:space="preserve">Australia </w:t>
      </w:r>
      <w:r w:rsidR="009C15A1">
        <w:rPr>
          <w:rFonts w:cs="Arial"/>
        </w:rPr>
        <w:t>will</w:t>
      </w:r>
      <w:r w:rsidR="006105E8">
        <w:rPr>
          <w:rFonts w:cs="Arial"/>
        </w:rPr>
        <w:t xml:space="preserve"> ensure that the delivery of health services, supports and research for PASC are:</w:t>
      </w:r>
    </w:p>
    <w:p w14:paraId="3CD4539E" w14:textId="176D90C5" w:rsidR="0004064B" w:rsidRPr="0004064B" w:rsidRDefault="0004064B" w:rsidP="0004064B">
      <w:pPr>
        <w:pStyle w:val="ListContinue"/>
      </w:pPr>
      <w:r>
        <w:rPr>
          <w:noProof/>
          <w:lang w:eastAsia="en-AU"/>
        </w:rPr>
        <w:drawing>
          <wp:inline distT="0" distB="0" distL="0" distR="0" wp14:anchorId="28F3DB02" wp14:editId="2E2599B2">
            <wp:extent cx="510994" cy="504000"/>
            <wp:effectExtent l="0" t="0" r="3810" b="0"/>
            <wp:docPr id="19" name="Graphic 19" descr="Influenc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28" descr="Influencer outline"/>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10994" cy="504000"/>
                    </a:xfrm>
                    <a:prstGeom prst="rect">
                      <a:avLst/>
                    </a:prstGeom>
                  </pic:spPr>
                </pic:pic>
              </a:graphicData>
            </a:graphic>
          </wp:inline>
        </w:drawing>
      </w:r>
      <w:r>
        <w:tab/>
      </w:r>
      <w:r w:rsidRPr="0004064B">
        <w:t>Patient-centred</w:t>
      </w:r>
    </w:p>
    <w:p w14:paraId="3DBAE009" w14:textId="756DC576" w:rsidR="0004064B" w:rsidRPr="0004064B" w:rsidRDefault="0004064B" w:rsidP="0004064B">
      <w:pPr>
        <w:pStyle w:val="ListContinue"/>
      </w:pPr>
      <w:r>
        <w:rPr>
          <w:noProof/>
          <w:lang w:eastAsia="en-AU"/>
        </w:rPr>
        <w:drawing>
          <wp:inline distT="0" distB="0" distL="0" distR="0" wp14:anchorId="65962572" wp14:editId="4C276892">
            <wp:extent cx="510993" cy="503908"/>
            <wp:effectExtent l="0" t="0" r="3810" b="0"/>
            <wp:docPr id="20" name="Graphic 20" descr="Chee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27" descr="Cheers outline"/>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10993" cy="503908"/>
                    </a:xfrm>
                    <a:prstGeom prst="rect">
                      <a:avLst/>
                    </a:prstGeom>
                  </pic:spPr>
                </pic:pic>
              </a:graphicData>
            </a:graphic>
          </wp:inline>
        </w:drawing>
      </w:r>
      <w:r>
        <w:tab/>
      </w:r>
      <w:r w:rsidRPr="0004064B">
        <w:t>Empowering</w:t>
      </w:r>
    </w:p>
    <w:p w14:paraId="1F6FB9DA" w14:textId="37BF331A" w:rsidR="0004064B" w:rsidRPr="0004064B" w:rsidRDefault="0004064B" w:rsidP="0004064B">
      <w:pPr>
        <w:pStyle w:val="ListContinue"/>
      </w:pPr>
      <w:r>
        <w:rPr>
          <w:noProof/>
          <w:lang w:eastAsia="en-AU"/>
        </w:rPr>
        <w:drawing>
          <wp:inline distT="0" distB="0" distL="0" distR="0" wp14:anchorId="3584C05E" wp14:editId="40D4958A">
            <wp:extent cx="510992" cy="503908"/>
            <wp:effectExtent l="0" t="0" r="3810" b="0"/>
            <wp:docPr id="21" name="Graphic 21" descr="Scales of just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26" descr="Scales of justice outline"/>
                    <pic:cNvPicPr>
                      <a:picLocks noChangeAspect="1"/>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510992" cy="503908"/>
                    </a:xfrm>
                    <a:prstGeom prst="rect">
                      <a:avLst/>
                    </a:prstGeom>
                  </pic:spPr>
                </pic:pic>
              </a:graphicData>
            </a:graphic>
          </wp:inline>
        </w:drawing>
      </w:r>
      <w:r>
        <w:tab/>
      </w:r>
      <w:r w:rsidRPr="0004064B">
        <w:t>Equitable</w:t>
      </w:r>
    </w:p>
    <w:p w14:paraId="69390FC4" w14:textId="67A08C70" w:rsidR="0004064B" w:rsidRPr="0004064B" w:rsidRDefault="0004064B" w:rsidP="0004064B">
      <w:pPr>
        <w:pStyle w:val="ListContinue"/>
      </w:pPr>
      <w:r>
        <w:rPr>
          <w:noProof/>
          <w:lang w:eastAsia="en-AU"/>
        </w:rPr>
        <w:drawing>
          <wp:inline distT="0" distB="0" distL="0" distR="0" wp14:anchorId="642EFD86" wp14:editId="79C0EB72">
            <wp:extent cx="510993" cy="503908"/>
            <wp:effectExtent l="0" t="0" r="0" b="0"/>
            <wp:docPr id="25" name="Graphic 25" descr="Stopwat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19" descr="Stopwatch outline"/>
                    <pic:cNvPicPr>
                      <a:picLocks noChangeAspect="1"/>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510993" cy="503908"/>
                    </a:xfrm>
                    <a:prstGeom prst="rect">
                      <a:avLst/>
                    </a:prstGeom>
                  </pic:spPr>
                </pic:pic>
              </a:graphicData>
            </a:graphic>
          </wp:inline>
        </w:drawing>
      </w:r>
      <w:r>
        <w:tab/>
      </w:r>
      <w:r w:rsidRPr="0004064B">
        <w:t>Efficient</w:t>
      </w:r>
    </w:p>
    <w:p w14:paraId="2DE8C617" w14:textId="385FB8E8" w:rsidR="0004064B" w:rsidRDefault="0004064B" w:rsidP="0004064B">
      <w:pPr>
        <w:pStyle w:val="ListContinue"/>
      </w:pPr>
      <w:r>
        <w:rPr>
          <w:noProof/>
          <w:lang w:eastAsia="en-AU"/>
        </w:rPr>
        <w:drawing>
          <wp:inline distT="0" distB="0" distL="0" distR="0" wp14:anchorId="3FF29640" wp14:editId="587AF7A1">
            <wp:extent cx="504000" cy="504000"/>
            <wp:effectExtent l="0" t="0" r="0" b="0"/>
            <wp:docPr id="27" name="Graphic 27" descr="Arrow circ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Arrow circle outline"/>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504000" cy="504000"/>
                    </a:xfrm>
                    <a:prstGeom prst="rect">
                      <a:avLst/>
                    </a:prstGeom>
                  </pic:spPr>
                </pic:pic>
              </a:graphicData>
            </a:graphic>
          </wp:inline>
        </w:drawing>
      </w:r>
      <w:r>
        <w:tab/>
      </w:r>
      <w:r w:rsidRPr="0004064B">
        <w:t>Sustainable</w:t>
      </w:r>
    </w:p>
    <w:p w14:paraId="798D151A" w14:textId="42A636E0" w:rsidR="0004064B" w:rsidRDefault="0004064B" w:rsidP="0004064B">
      <w:pPr>
        <w:pStyle w:val="ListContinue"/>
      </w:pPr>
      <w:r>
        <w:rPr>
          <w:noProof/>
          <w:color w:val="000000" w:themeColor="text1"/>
          <w:kern w:val="24"/>
          <w:szCs w:val="22"/>
          <w:lang w:eastAsia="en-AU"/>
        </w:rPr>
        <w:drawing>
          <wp:inline distT="0" distB="0" distL="0" distR="0" wp14:anchorId="3FB0DA7C" wp14:editId="7EBAA321">
            <wp:extent cx="504000" cy="504000"/>
            <wp:effectExtent l="0" t="0" r="0" b="0"/>
            <wp:docPr id="28" name="Graphic 28" descr="Hospita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Hospital outline"/>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504000" cy="504000"/>
                    </a:xfrm>
                    <a:prstGeom prst="rect">
                      <a:avLst/>
                    </a:prstGeom>
                  </pic:spPr>
                </pic:pic>
              </a:graphicData>
            </a:graphic>
          </wp:inline>
        </w:drawing>
      </w:r>
      <w:r>
        <w:tab/>
      </w:r>
      <w:r w:rsidRPr="0004064B">
        <w:t>Accessible</w:t>
      </w:r>
    </w:p>
    <w:p w14:paraId="6675B92D" w14:textId="30E50F2A" w:rsidR="0004064B" w:rsidRPr="0004064B" w:rsidRDefault="0004064B" w:rsidP="0004064B">
      <w:pPr>
        <w:pStyle w:val="ListContinue"/>
      </w:pPr>
      <w:r>
        <w:rPr>
          <w:noProof/>
          <w:lang w:eastAsia="en-AU"/>
        </w:rPr>
        <w:drawing>
          <wp:inline distT="0" distB="0" distL="0" distR="0" wp14:anchorId="4084533D" wp14:editId="2F7A21A1">
            <wp:extent cx="504000" cy="504000"/>
            <wp:effectExtent l="0" t="0" r="0" b="0"/>
            <wp:docPr id="29" name="Graphic 29" descr="Customer revi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Customer review outline"/>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504000" cy="504000"/>
                    </a:xfrm>
                    <a:prstGeom prst="rect">
                      <a:avLst/>
                    </a:prstGeom>
                  </pic:spPr>
                </pic:pic>
              </a:graphicData>
            </a:graphic>
          </wp:inline>
        </w:drawing>
      </w:r>
      <w:r>
        <w:tab/>
      </w:r>
      <w:r w:rsidRPr="0004064B">
        <w:t xml:space="preserve">Informed by lived </w:t>
      </w:r>
      <w:proofErr w:type="gramStart"/>
      <w:r w:rsidRPr="0004064B">
        <w:t>experience</w:t>
      </w:r>
      <w:proofErr w:type="gramEnd"/>
    </w:p>
    <w:p w14:paraId="566D6DE8" w14:textId="77777777" w:rsidR="004466BC" w:rsidRPr="0004064B" w:rsidRDefault="004466BC" w:rsidP="0004064B">
      <w:bookmarkStart w:id="16" w:name="_Toc136588406"/>
      <w:r>
        <w:br w:type="page"/>
      </w:r>
    </w:p>
    <w:p w14:paraId="2FDFE512" w14:textId="5E83988B" w:rsidR="0036611B" w:rsidRDefault="0036611B" w:rsidP="00261EE5">
      <w:pPr>
        <w:pStyle w:val="Heading1"/>
        <w:spacing w:before="0" w:after="120" w:line="276" w:lineRule="auto"/>
      </w:pPr>
      <w:bookmarkStart w:id="17" w:name="_Toc137202815"/>
      <w:bookmarkStart w:id="18" w:name="_Toc157771513"/>
      <w:r w:rsidRPr="00323B1D">
        <w:lastRenderedPageBreak/>
        <w:t>Challenges</w:t>
      </w:r>
      <w:bookmarkEnd w:id="16"/>
      <w:bookmarkEnd w:id="17"/>
      <w:bookmarkEnd w:id="18"/>
    </w:p>
    <w:p w14:paraId="619ADBD2" w14:textId="04A78167" w:rsidR="00660398" w:rsidRPr="0036611B" w:rsidRDefault="00660398" w:rsidP="0004064B">
      <w:pPr>
        <w:pStyle w:val="ListBullet3"/>
      </w:pPr>
      <w:r>
        <w:t>Much like other chronic conditions, PASC</w:t>
      </w:r>
      <w:r w:rsidRPr="00B64D11">
        <w:t xml:space="preserve"> is a complex, multi-system illness with the potential </w:t>
      </w:r>
      <w:r w:rsidR="00E67344">
        <w:t>to substantially</w:t>
      </w:r>
      <w:r w:rsidRPr="00B64D11">
        <w:t xml:space="preserve"> impact</w:t>
      </w:r>
      <w:r w:rsidR="00E67344">
        <w:t xml:space="preserve"> </w:t>
      </w:r>
      <w:r>
        <w:t>individuals, communities and</w:t>
      </w:r>
      <w:r w:rsidRPr="00B64D11">
        <w:t xml:space="preserve"> society </w:t>
      </w:r>
      <w:r w:rsidR="00627395">
        <w:t>through</w:t>
      </w:r>
      <w:r w:rsidRPr="00B64D11">
        <w:t xml:space="preserve"> increased health care costs</w:t>
      </w:r>
      <w:r w:rsidR="00F53F8F">
        <w:t>,</w:t>
      </w:r>
      <w:r w:rsidRPr="00B64D11">
        <w:t xml:space="preserve"> economic</w:t>
      </w:r>
      <w:r w:rsidR="00903E24">
        <w:t xml:space="preserve"> </w:t>
      </w:r>
      <w:r w:rsidR="007A7817">
        <w:t>burden,</w:t>
      </w:r>
      <w:r w:rsidRPr="00B64D11">
        <w:t xml:space="preserve"> and productivity loss</w:t>
      </w:r>
      <w:r w:rsidR="0003230A">
        <w:t>.</w:t>
      </w:r>
    </w:p>
    <w:p w14:paraId="69766236" w14:textId="4D4E6C61" w:rsidR="002973DD" w:rsidRPr="0036611B" w:rsidRDefault="7A3FCA91" w:rsidP="0004064B">
      <w:pPr>
        <w:pStyle w:val="ListBullet3"/>
      </w:pPr>
      <w:r w:rsidRPr="074D8936">
        <w:t xml:space="preserve">Increasing health system and workforce capacity to effectively </w:t>
      </w:r>
      <w:r w:rsidR="054A597F" w:rsidRPr="074D8936">
        <w:t xml:space="preserve">manage </w:t>
      </w:r>
      <w:r w:rsidRPr="074D8936">
        <w:t xml:space="preserve">the significant existing burden of chronic disease </w:t>
      </w:r>
      <w:r w:rsidR="054A597F" w:rsidRPr="074D8936">
        <w:t xml:space="preserve">and its impact </w:t>
      </w:r>
      <w:r w:rsidRPr="074D8936">
        <w:t xml:space="preserve">on individuals, their </w:t>
      </w:r>
      <w:proofErr w:type="gramStart"/>
      <w:r w:rsidRPr="074D8936">
        <w:t>families</w:t>
      </w:r>
      <w:proofErr w:type="gramEnd"/>
      <w:r w:rsidRPr="074D8936">
        <w:t xml:space="preserve"> and carers, alongside people with PASC.</w:t>
      </w:r>
    </w:p>
    <w:p w14:paraId="7DA291AC" w14:textId="77777777" w:rsidR="002973DD" w:rsidRPr="0036611B" w:rsidRDefault="7A3FCA91" w:rsidP="0004064B">
      <w:pPr>
        <w:pStyle w:val="ListBullet3"/>
      </w:pPr>
      <w:r w:rsidRPr="074D8936">
        <w:t>Addressing service delivery challenges in general practice that are increasing due to changes in patient factors, particularly increasing prevalence of complex and chronic conditions and multi-morbidity.</w:t>
      </w:r>
    </w:p>
    <w:p w14:paraId="60BB6E71" w14:textId="2AD4B644" w:rsidR="002973DD" w:rsidRPr="0036611B" w:rsidRDefault="7A3FCA91" w:rsidP="0004064B">
      <w:pPr>
        <w:pStyle w:val="ListBullet3"/>
      </w:pPr>
      <w:r w:rsidRPr="074D8936">
        <w:t xml:space="preserve">Ensuring equitable access to services and supports across Australia </w:t>
      </w:r>
      <w:r w:rsidR="001D6D7A">
        <w:t xml:space="preserve">that are available to people with PASC </w:t>
      </w:r>
      <w:r w:rsidRPr="074D8936">
        <w:t>noting some groups (e.g</w:t>
      </w:r>
      <w:r w:rsidR="001410B1" w:rsidRPr="074D8936">
        <w:t>.,</w:t>
      </w:r>
      <w:r w:rsidRPr="074D8936">
        <w:t xml:space="preserve"> older people, First Nations peoples, people with disability, people from culturally and linguistically diverse backgrounds, people experiencing socio-economic disadvantage and people living in rural and remote areas) have reported difficulties accessing affordable and timely primary </w:t>
      </w:r>
      <w:r w:rsidR="00D95EA8" w:rsidRPr="074D8936">
        <w:t>care and</w:t>
      </w:r>
      <w:r w:rsidRPr="074D8936">
        <w:t xml:space="preserve"> may require additional support.</w:t>
      </w:r>
    </w:p>
    <w:p w14:paraId="1188C1BE" w14:textId="0211AB02" w:rsidR="002973DD" w:rsidRPr="0036611B" w:rsidRDefault="49A6F9E9" w:rsidP="0004064B">
      <w:pPr>
        <w:pStyle w:val="ListBullet3"/>
      </w:pPr>
      <w:r w:rsidRPr="074D8936">
        <w:t xml:space="preserve">Ensuring equitable, </w:t>
      </w:r>
      <w:r w:rsidR="007A7817" w:rsidRPr="074D8936">
        <w:t>sustainable,</w:t>
      </w:r>
      <w:r w:rsidRPr="074D8936">
        <w:t xml:space="preserve"> and efficient distribution of resources to support the health and wellbeing of all Australians. </w:t>
      </w:r>
      <w:r w:rsidR="7A3FCA91" w:rsidRPr="074D8936">
        <w:t>People with PASC experience similar issues to those with other chronic conditions (e.g., impacts on social interaction, emotional and psychological wellbeing, participation in education or employment).</w:t>
      </w:r>
    </w:p>
    <w:p w14:paraId="32AED88A" w14:textId="3714BDCC" w:rsidR="0036611B" w:rsidRPr="0036611B" w:rsidRDefault="01E6FDA7" w:rsidP="0004064B">
      <w:pPr>
        <w:pStyle w:val="ListBullet3"/>
      </w:pPr>
      <w:r w:rsidRPr="074D8936">
        <w:t xml:space="preserve">Developing a coordinated approach to PASC management that is responsive to need and to emerging best practice evidence, </w:t>
      </w:r>
      <w:r w:rsidR="4D67F2DE" w:rsidRPr="074D8936">
        <w:t xml:space="preserve">is </w:t>
      </w:r>
      <w:r w:rsidRPr="074D8936">
        <w:t>consistent and empowering with accessible resources available to support both healthcare providers and the public.</w:t>
      </w:r>
    </w:p>
    <w:p w14:paraId="5E1140C4" w14:textId="64CA4C2C" w:rsidR="00C86B4A" w:rsidRPr="00690DFA" w:rsidRDefault="533C4D4A" w:rsidP="0004064B">
      <w:pPr>
        <w:pStyle w:val="ListBullet3"/>
      </w:pPr>
      <w:r w:rsidRPr="074D8936">
        <w:t>Engaging effectively</w:t>
      </w:r>
      <w:r w:rsidR="49A6F9E9" w:rsidRPr="074D8936">
        <w:t xml:space="preserve"> across all levels of government. </w:t>
      </w:r>
      <w:r w:rsidR="6E480FF3" w:rsidRPr="074D8936">
        <w:t xml:space="preserve">In Australia, </w:t>
      </w:r>
      <w:r w:rsidR="12EC8E7A" w:rsidRPr="074D8936">
        <w:t>each level of</w:t>
      </w:r>
      <w:r w:rsidR="6E480FF3" w:rsidRPr="074D8936">
        <w:t xml:space="preserve"> </w:t>
      </w:r>
      <w:r w:rsidR="44A5DD0C" w:rsidRPr="074D8936">
        <w:t xml:space="preserve">government – federal, </w:t>
      </w:r>
      <w:r w:rsidR="007A7817" w:rsidRPr="074D8936">
        <w:t>jurisdictional,</w:t>
      </w:r>
      <w:r w:rsidR="44A5DD0C" w:rsidRPr="074D8936">
        <w:t xml:space="preserve"> and local</w:t>
      </w:r>
      <w:r w:rsidR="03926580" w:rsidRPr="074D8936">
        <w:t xml:space="preserve"> </w:t>
      </w:r>
      <w:r w:rsidR="5E254E59" w:rsidRPr="074D8936">
        <w:t>–</w:t>
      </w:r>
      <w:r w:rsidR="03926580" w:rsidRPr="074D8936">
        <w:t xml:space="preserve"> </w:t>
      </w:r>
      <w:r w:rsidR="5E254E59" w:rsidRPr="074D8936">
        <w:t xml:space="preserve">has its own </w:t>
      </w:r>
      <w:r w:rsidR="5123BE5A" w:rsidRPr="074D8936">
        <w:t>health</w:t>
      </w:r>
      <w:r w:rsidR="260A170A" w:rsidRPr="074D8936">
        <w:t xml:space="preserve"> responsibilities</w:t>
      </w:r>
      <w:r w:rsidR="5123BE5A" w:rsidRPr="074D8936">
        <w:t xml:space="preserve">. </w:t>
      </w:r>
      <w:r w:rsidR="6696820D" w:rsidRPr="074D8936">
        <w:t>S</w:t>
      </w:r>
      <w:r w:rsidR="358B8F94" w:rsidRPr="074D8936">
        <w:t xml:space="preserve">tates and territories </w:t>
      </w:r>
      <w:r w:rsidR="6696820D" w:rsidRPr="074D8936">
        <w:t>may</w:t>
      </w:r>
      <w:r w:rsidR="49195757" w:rsidRPr="074D8936">
        <w:t xml:space="preserve"> use different </w:t>
      </w:r>
      <w:r w:rsidR="6696820D" w:rsidRPr="074D8936">
        <w:t>systems to collect data</w:t>
      </w:r>
      <w:r w:rsidR="4A626B78" w:rsidRPr="074D8936">
        <w:t xml:space="preserve"> </w:t>
      </w:r>
      <w:r w:rsidR="02577852" w:rsidRPr="074D8936">
        <w:t>and meet community health needs</w:t>
      </w:r>
      <w:r w:rsidR="6696820D" w:rsidRPr="074D8936">
        <w:t>.</w:t>
      </w:r>
      <w:r w:rsidR="358B8F94" w:rsidRPr="074D8936">
        <w:t xml:space="preserve"> </w:t>
      </w:r>
      <w:r w:rsidR="2C8809B9" w:rsidRPr="074D8936">
        <w:t xml:space="preserve">The </w:t>
      </w:r>
      <w:r w:rsidR="00DB4ECC" w:rsidRPr="074D8936">
        <w:t>discrepancy</w:t>
      </w:r>
      <w:r w:rsidR="2C8809B9" w:rsidRPr="074D8936">
        <w:t xml:space="preserve"> </w:t>
      </w:r>
      <w:r w:rsidR="2B536AAB" w:rsidRPr="074D8936">
        <w:t>across these systems</w:t>
      </w:r>
      <w:r w:rsidR="00DB4ECC" w:rsidRPr="074D8936">
        <w:t xml:space="preserve"> </w:t>
      </w:r>
      <w:r w:rsidR="785FFF9B" w:rsidRPr="074D8936">
        <w:t xml:space="preserve">and limitations </w:t>
      </w:r>
      <w:r w:rsidR="2B6846B4" w:rsidRPr="074D8936">
        <w:t>to</w:t>
      </w:r>
      <w:r w:rsidR="785FFF9B" w:rsidRPr="074D8936">
        <w:t xml:space="preserve"> interoperability presents difficulties </w:t>
      </w:r>
      <w:r w:rsidR="078DD8B6" w:rsidRPr="074D8936">
        <w:t xml:space="preserve">when </w:t>
      </w:r>
      <w:r w:rsidR="2B6846B4" w:rsidRPr="074D8936">
        <w:t xml:space="preserve">data sharing within jurisdictions and at a national level. </w:t>
      </w:r>
    </w:p>
    <w:p w14:paraId="4FA1B193" w14:textId="77777777" w:rsidR="002973DD" w:rsidRPr="0036611B" w:rsidRDefault="7A3FCA91" w:rsidP="0004064B">
      <w:pPr>
        <w:pStyle w:val="ListBullet3"/>
        <w:rPr>
          <w:rFonts w:eastAsiaTheme="minorEastAsia"/>
        </w:rPr>
      </w:pPr>
      <w:r w:rsidRPr="074D8936">
        <w:t xml:space="preserve">Improving our understanding of PASC in Australia, as well as best practice management and response. </w:t>
      </w:r>
    </w:p>
    <w:p w14:paraId="5C254B6B" w14:textId="040259F6" w:rsidR="0036611B" w:rsidRPr="0004064B" w:rsidRDefault="002973DD" w:rsidP="0004064B">
      <w:pPr>
        <w:pStyle w:val="ListBullet3"/>
      </w:pPr>
      <w:r w:rsidRPr="0036611B">
        <w:t xml:space="preserve">Ensuring ongoing research to determine whether treatments given during the acute phase of COVID-19 can reduce the risk of PASC, given the limited evidence currently available to provide recommendations for the treatment of PASC. </w:t>
      </w:r>
      <w:bookmarkStart w:id="19" w:name="_Toc136588407"/>
      <w:r w:rsidR="0036611B" w:rsidRPr="0004064B">
        <w:br w:type="page"/>
      </w:r>
    </w:p>
    <w:p w14:paraId="6103BBE4" w14:textId="6EA57278" w:rsidR="0036611B" w:rsidRPr="00F46042" w:rsidRDefault="0036611B" w:rsidP="00261EE5">
      <w:pPr>
        <w:pStyle w:val="Heading1"/>
        <w:spacing w:before="0" w:after="120" w:line="276" w:lineRule="auto"/>
      </w:pPr>
      <w:bookmarkStart w:id="20" w:name="_Toc137202816"/>
      <w:bookmarkStart w:id="21" w:name="_Toc157771514"/>
      <w:r w:rsidRPr="00F46042">
        <w:lastRenderedPageBreak/>
        <w:t>Opportunities</w:t>
      </w:r>
      <w:bookmarkEnd w:id="19"/>
      <w:bookmarkEnd w:id="20"/>
      <w:bookmarkEnd w:id="21"/>
      <w:r w:rsidRPr="00F46042">
        <w:t xml:space="preserve"> </w:t>
      </w:r>
    </w:p>
    <w:p w14:paraId="595D2FA6" w14:textId="0DD161A6" w:rsidR="000F47E7" w:rsidRPr="0004064B" w:rsidRDefault="4BAF9A77" w:rsidP="0004064B">
      <w:pPr>
        <w:pStyle w:val="ListBullet3"/>
      </w:pPr>
      <w:r w:rsidRPr="0004064B">
        <w:t>Op</w:t>
      </w:r>
      <w:r w:rsidR="6AB4E7AB" w:rsidRPr="0004064B">
        <w:t>timise p</w:t>
      </w:r>
      <w:r w:rsidR="3175FE5A" w:rsidRPr="0004064B">
        <w:t>rimary care models with wrap around multidisciplinary support to deliver appropriate management</w:t>
      </w:r>
      <w:r w:rsidR="3FE64607" w:rsidRPr="0004064B">
        <w:t xml:space="preserve"> to </w:t>
      </w:r>
      <w:r w:rsidR="3175FE5A" w:rsidRPr="0004064B">
        <w:t xml:space="preserve">people with </w:t>
      </w:r>
      <w:r w:rsidR="00D95EA8" w:rsidRPr="0004064B">
        <w:t>PASC and</w:t>
      </w:r>
      <w:r w:rsidR="3FE64607" w:rsidRPr="0004064B">
        <w:t xml:space="preserve"> integrate</w:t>
      </w:r>
      <w:r w:rsidR="3175FE5A" w:rsidRPr="0004064B">
        <w:t xml:space="preserve"> care with </w:t>
      </w:r>
      <w:r w:rsidR="3FE64607" w:rsidRPr="0004064B">
        <w:t>the management</w:t>
      </w:r>
      <w:r w:rsidR="3175FE5A" w:rsidRPr="0004064B">
        <w:t xml:space="preserve"> of other chronic conditions (where present) to optimise health outcomes.</w:t>
      </w:r>
    </w:p>
    <w:p w14:paraId="2E3686E9" w14:textId="349BC458" w:rsidR="000F47E7" w:rsidRPr="0004064B" w:rsidRDefault="3175FE5A" w:rsidP="0004064B">
      <w:pPr>
        <w:pStyle w:val="ListBullet3"/>
      </w:pPr>
      <w:r w:rsidRPr="0004064B">
        <w:t>Utilise existing health reforms and initiatives to address longstanding barriers, enhance our response to PASC and ensure efficient and equitable use of resources</w:t>
      </w:r>
      <w:r w:rsidR="00D95EA8" w:rsidRPr="0004064B">
        <w:t xml:space="preserve">. </w:t>
      </w:r>
    </w:p>
    <w:p w14:paraId="462C3305" w14:textId="4F3AD09F" w:rsidR="000F47E7" w:rsidRPr="0004064B" w:rsidRDefault="3175FE5A" w:rsidP="0004064B">
      <w:pPr>
        <w:pStyle w:val="ListBullet3"/>
      </w:pPr>
      <w:r w:rsidRPr="0004064B">
        <w:t xml:space="preserve">Drive </w:t>
      </w:r>
      <w:r w:rsidR="4D67F2DE" w:rsidRPr="0004064B">
        <w:t xml:space="preserve">the </w:t>
      </w:r>
      <w:r w:rsidRPr="0004064B">
        <w:t xml:space="preserve">development of nationally consistent clinical guidelines and care escalation pathways to ensure consistent and best-practice management of people with PASC, with a particular focus on primary care. </w:t>
      </w:r>
    </w:p>
    <w:p w14:paraId="23A3EA5D" w14:textId="7007F45C" w:rsidR="000F47E7" w:rsidRPr="0004064B" w:rsidRDefault="3175FE5A" w:rsidP="0004064B">
      <w:pPr>
        <w:pStyle w:val="ListBullet3"/>
      </w:pPr>
      <w:r w:rsidRPr="0004064B">
        <w:t xml:space="preserve">Engage with people with </w:t>
      </w:r>
      <w:r w:rsidR="08E5034F" w:rsidRPr="0004064B">
        <w:t xml:space="preserve">a </w:t>
      </w:r>
      <w:r w:rsidRPr="0004064B">
        <w:t>lived experience of PASC</w:t>
      </w:r>
      <w:r w:rsidR="4A626B78" w:rsidRPr="0004064B">
        <w:t>,</w:t>
      </w:r>
      <w:r w:rsidRPr="0004064B">
        <w:t xml:space="preserve"> and groups disproportionately affected by COVID-19, to ensure collaboration and co</w:t>
      </w:r>
      <w:r w:rsidR="4A626B78" w:rsidRPr="0004064B">
        <w:t>-</w:t>
      </w:r>
      <w:r w:rsidRPr="0004064B">
        <w:t xml:space="preserve">design of the resources to support PASC recovery and self-management. </w:t>
      </w:r>
    </w:p>
    <w:p w14:paraId="28CE1982" w14:textId="56C82FCC" w:rsidR="00760834" w:rsidRPr="0004064B" w:rsidRDefault="01E6FDA7" w:rsidP="0004064B">
      <w:pPr>
        <w:pStyle w:val="ListBullet3"/>
      </w:pPr>
      <w:r w:rsidRPr="0004064B">
        <w:t xml:space="preserve">Enhance awareness and understanding of PASC </w:t>
      </w:r>
      <w:r w:rsidR="4A626B78" w:rsidRPr="0004064B">
        <w:t xml:space="preserve">for healthcare providers and the </w:t>
      </w:r>
      <w:r w:rsidR="646C9216" w:rsidRPr="0004064B">
        <w:t>community and</w:t>
      </w:r>
      <w:r w:rsidRPr="0004064B">
        <w:t xml:space="preserve"> empower individuals to effectively self-manage</w:t>
      </w:r>
      <w:r w:rsidR="4A626B78" w:rsidRPr="0004064B">
        <w:t xml:space="preserve"> symptoms in their recovery</w:t>
      </w:r>
      <w:r w:rsidR="00D95EA8" w:rsidRPr="0004064B">
        <w:t xml:space="preserve">. </w:t>
      </w:r>
    </w:p>
    <w:p w14:paraId="1684450F" w14:textId="2C862049" w:rsidR="00E42CC4" w:rsidRPr="0004064B" w:rsidRDefault="36B05A9A" w:rsidP="0004064B">
      <w:pPr>
        <w:pStyle w:val="ListBullet3"/>
      </w:pPr>
      <w:r w:rsidRPr="0004064B">
        <w:t xml:space="preserve">Harness useful and effective elements from the </w:t>
      </w:r>
      <w:bookmarkStart w:id="22" w:name="_Hlk137545453"/>
      <w:r w:rsidR="00556A94" w:rsidRPr="0004064B">
        <w:rPr>
          <w:rFonts w:eastAsia="Arial"/>
        </w:rPr>
        <w:fldChar w:fldCharType="begin"/>
      </w:r>
      <w:r w:rsidR="00556A94" w:rsidRPr="0004064B">
        <w:instrText xml:space="preserve"> HYPERLINK "https://www.health.gov.au/sites/default/files/documents/2019/09/national-strategic-framework-for-chronic-conditions.pdf" \h </w:instrText>
      </w:r>
      <w:r w:rsidR="00556A94" w:rsidRPr="0004064B">
        <w:rPr>
          <w:rFonts w:eastAsia="Arial"/>
        </w:rPr>
        <w:fldChar w:fldCharType="separate"/>
      </w:r>
      <w:r w:rsidRPr="0004064B">
        <w:rPr>
          <w:rStyle w:val="Hyperlink"/>
          <w:rFonts w:eastAsia="Arial"/>
          <w:color w:val="000000"/>
          <w:u w:val="none"/>
        </w:rPr>
        <w:t>National Strategic Framework for Chronic Conditions</w:t>
      </w:r>
      <w:r w:rsidR="00556A94" w:rsidRPr="0004064B">
        <w:rPr>
          <w:rStyle w:val="Hyperlink"/>
          <w:rFonts w:eastAsia="Arial"/>
          <w:color w:val="000000"/>
          <w:u w:val="none"/>
        </w:rPr>
        <w:fldChar w:fldCharType="end"/>
      </w:r>
      <w:bookmarkEnd w:id="22"/>
      <w:r w:rsidRPr="0004064B">
        <w:t xml:space="preserve"> that can be utilised in PASC management. The National Strategic Framework for Chronic Conditions </w:t>
      </w:r>
      <w:r w:rsidRPr="0004064B">
        <w:rPr>
          <w:rFonts w:eastAsia="Arial"/>
        </w:rPr>
        <w:t>o</w:t>
      </w:r>
      <w:r w:rsidR="79D32EAB" w:rsidRPr="0004064B">
        <w:t>utlines the overarching policy for the prevention and management of chronic conditions in Australia</w:t>
      </w:r>
      <w:r w:rsidRPr="0004064B">
        <w:t xml:space="preserve"> and underpins </w:t>
      </w:r>
      <w:r w:rsidR="4D67F2DE" w:rsidRPr="0004064B">
        <w:t>11 </w:t>
      </w:r>
      <w:r w:rsidR="79D32EAB" w:rsidRPr="0004064B">
        <w:t>specific chronic disease action plans</w:t>
      </w:r>
      <w:r w:rsidRPr="0004064B">
        <w:t>.</w:t>
      </w:r>
      <w:r w:rsidR="79D32EAB" w:rsidRPr="0004064B">
        <w:t xml:space="preserve"> </w:t>
      </w:r>
    </w:p>
    <w:p w14:paraId="43518802" w14:textId="1E61519A" w:rsidR="008A677F" w:rsidRPr="0004064B" w:rsidRDefault="2D3CB8B6" w:rsidP="0004064B">
      <w:pPr>
        <w:pStyle w:val="ListBullet3"/>
      </w:pPr>
      <w:r w:rsidRPr="0004064B">
        <w:t xml:space="preserve">Leverage the Australian Centre for Disease Control (CDC), once operational, to improve access to expertise and contemporary research, </w:t>
      </w:r>
      <w:proofErr w:type="gramStart"/>
      <w:r w:rsidRPr="0004064B">
        <w:t>data</w:t>
      </w:r>
      <w:proofErr w:type="gramEnd"/>
      <w:r w:rsidRPr="0004064B">
        <w:t xml:space="preserve"> and information systems, strengthened national health sector coordination, and health promotion avenues to support enduring, high-quality, and consistent models of care and patient resources into the future.</w:t>
      </w:r>
    </w:p>
    <w:p w14:paraId="176E953E" w14:textId="51C367C4" w:rsidR="001C4F22" w:rsidRPr="0004064B" w:rsidRDefault="3175FE5A" w:rsidP="0004064B">
      <w:pPr>
        <w:pStyle w:val="ListBullet3"/>
      </w:pPr>
      <w:r w:rsidRPr="0004064B">
        <w:t xml:space="preserve">Progress </w:t>
      </w:r>
      <w:r w:rsidR="00BE6A07" w:rsidRPr="0004064B">
        <w:t>i</w:t>
      </w:r>
      <w:r w:rsidRPr="0004064B">
        <w:t xml:space="preserve">ntegration efforts </w:t>
      </w:r>
      <w:r w:rsidR="4A626B78" w:rsidRPr="0004064B">
        <w:t xml:space="preserve">within and between jurisdictions </w:t>
      </w:r>
      <w:r w:rsidRPr="0004064B">
        <w:t xml:space="preserve">to </w:t>
      </w:r>
      <w:r w:rsidR="4A626B78" w:rsidRPr="0004064B">
        <w:t xml:space="preserve">enable </w:t>
      </w:r>
      <w:r w:rsidRPr="0004064B">
        <w:t xml:space="preserve">a national system for PASC data collection and </w:t>
      </w:r>
      <w:r w:rsidR="4A626B78" w:rsidRPr="0004064B">
        <w:t xml:space="preserve">subsequent </w:t>
      </w:r>
      <w:r w:rsidRPr="0004064B">
        <w:t>analysis.</w:t>
      </w:r>
      <w:r w:rsidR="2032688B" w:rsidRPr="0004064B">
        <w:t xml:space="preserve"> </w:t>
      </w:r>
      <w:r w:rsidR="0CE8DE2D" w:rsidRPr="0004064B">
        <w:t xml:space="preserve">This can support a </w:t>
      </w:r>
      <w:r w:rsidR="67A278F3" w:rsidRPr="0004064B">
        <w:t>better understanding of</w:t>
      </w:r>
      <w:r w:rsidR="4CC262FC" w:rsidRPr="0004064B">
        <w:t xml:space="preserve"> the</w:t>
      </w:r>
      <w:r w:rsidR="67A278F3" w:rsidRPr="0004064B">
        <w:t xml:space="preserve"> impacts</w:t>
      </w:r>
      <w:r w:rsidR="4CC262FC" w:rsidRPr="0004064B">
        <w:t xml:space="preserve"> of PASC</w:t>
      </w:r>
      <w:r w:rsidR="0E28A966" w:rsidRPr="0004064B">
        <w:t xml:space="preserve"> stratified by</w:t>
      </w:r>
      <w:r w:rsidR="3A75B67A" w:rsidRPr="0004064B">
        <w:t xml:space="preserve"> age, gender, ethnicity, </w:t>
      </w:r>
      <w:r w:rsidR="11B22667" w:rsidRPr="0004064B">
        <w:t xml:space="preserve">First Nations status and disability. </w:t>
      </w:r>
    </w:p>
    <w:p w14:paraId="2FB43848" w14:textId="0CA252EE" w:rsidR="0036611B" w:rsidRPr="00C8539D" w:rsidRDefault="36B05A9A" w:rsidP="00760834">
      <w:pPr>
        <w:pStyle w:val="ListBullet3"/>
      </w:pPr>
      <w:r w:rsidRPr="0004064B">
        <w:t>Generate evidence to improve health care and outcomes, with translation of research findings into clinical guidance and policies through the Medical Research Futures Fund (MRFF) Post-Acute Sequalae of COVID-19 Research Plan</w:t>
      </w:r>
      <w:r w:rsidR="054A597F" w:rsidRPr="0004064B">
        <w:t>.</w:t>
      </w:r>
      <w:r w:rsidRPr="0004064B">
        <w:t xml:space="preserve"> </w:t>
      </w:r>
    </w:p>
    <w:p w14:paraId="493CCC16" w14:textId="77777777" w:rsidR="0036611B" w:rsidRDefault="0036611B" w:rsidP="00F46042">
      <w:pPr>
        <w:spacing w:line="276" w:lineRule="auto"/>
        <w:rPr>
          <w:color w:val="000000" w:themeColor="text1"/>
        </w:rPr>
      </w:pPr>
      <w:r>
        <w:rPr>
          <w:color w:val="000000" w:themeColor="text1"/>
        </w:rPr>
        <w:br w:type="page"/>
      </w:r>
    </w:p>
    <w:p w14:paraId="3B6D43F9" w14:textId="77777777" w:rsidR="0036611B" w:rsidRDefault="0036611B" w:rsidP="00F46042">
      <w:pPr>
        <w:pStyle w:val="Heading1"/>
        <w:spacing w:before="0" w:after="120" w:line="276" w:lineRule="auto"/>
      </w:pPr>
      <w:bookmarkStart w:id="23" w:name="_Toc136588408"/>
      <w:bookmarkStart w:id="24" w:name="_Toc137202817"/>
      <w:bookmarkStart w:id="25" w:name="_Toc157771515"/>
      <w:r>
        <w:lastRenderedPageBreak/>
        <w:t>What is the Government doing already?</w:t>
      </w:r>
      <w:bookmarkEnd w:id="23"/>
      <w:bookmarkEnd w:id="24"/>
      <w:bookmarkEnd w:id="25"/>
    </w:p>
    <w:p w14:paraId="258BB53A" w14:textId="58DFDE12" w:rsidR="002B15B7" w:rsidRDefault="0036611B" w:rsidP="006C6B86">
      <w:r w:rsidRPr="0036611B">
        <w:t xml:space="preserve">The Government </w:t>
      </w:r>
      <w:r w:rsidR="00584725">
        <w:t xml:space="preserve">has announced </w:t>
      </w:r>
      <w:proofErr w:type="gramStart"/>
      <w:r w:rsidR="00584725">
        <w:t>a</w:t>
      </w:r>
      <w:r w:rsidRPr="0036611B">
        <w:t xml:space="preserve"> number of</w:t>
      </w:r>
      <w:proofErr w:type="gramEnd"/>
      <w:r w:rsidRPr="0036611B">
        <w:t xml:space="preserve"> initiatives and funding commitments to bolster </w:t>
      </w:r>
      <w:r w:rsidRPr="00C87459">
        <w:t>research</w:t>
      </w:r>
      <w:r w:rsidRPr="0036611B">
        <w:t xml:space="preserve"> capacity, improve accessibility of healthcare services and support </w:t>
      </w:r>
      <w:r w:rsidR="00916522">
        <w:t xml:space="preserve">the </w:t>
      </w:r>
      <w:r w:rsidRPr="00261EE5">
        <w:t>management</w:t>
      </w:r>
      <w:r w:rsidRPr="0036611B">
        <w:t xml:space="preserve"> of people with chronic conditions, </w:t>
      </w:r>
      <w:r w:rsidR="000B33CF">
        <w:t>including</w:t>
      </w:r>
      <w:r w:rsidR="00C10446">
        <w:t xml:space="preserve"> people with PASC</w:t>
      </w:r>
      <w:r w:rsidRPr="0036611B">
        <w:t xml:space="preserve">. </w:t>
      </w:r>
    </w:p>
    <w:p w14:paraId="78170DCD" w14:textId="77777777" w:rsidR="00BB728A" w:rsidRDefault="00BB728A" w:rsidP="006C6B86">
      <w:r>
        <w:t>The National PASC Plan recognises the landscape of broader health reforms currently pursued by the Government, including (but not limited to) the:</w:t>
      </w:r>
    </w:p>
    <w:p w14:paraId="27795B20" w14:textId="77777777" w:rsidR="00BB728A" w:rsidRDefault="00731F04" w:rsidP="001D78B9">
      <w:pPr>
        <w:pStyle w:val="ListBullet"/>
        <w:rPr>
          <w:rFonts w:cs="Arial"/>
          <w:color w:val="000000" w:themeColor="text1"/>
        </w:rPr>
      </w:pPr>
      <w:hyperlink r:id="rId36" w:history="1">
        <w:r w:rsidR="00BB728A" w:rsidRPr="00020E50">
          <w:rPr>
            <w:rStyle w:val="Hyperlink"/>
            <w:rFonts w:cs="Arial"/>
          </w:rPr>
          <w:t>Primary Care 10 Year Plan 2022-32</w:t>
        </w:r>
      </w:hyperlink>
    </w:p>
    <w:p w14:paraId="75A99298" w14:textId="77777777" w:rsidR="00BB728A" w:rsidRPr="001D78B9" w:rsidRDefault="00731F04" w:rsidP="001D78B9">
      <w:pPr>
        <w:pStyle w:val="ListBullet"/>
      </w:pPr>
      <w:hyperlink r:id="rId37" w:history="1">
        <w:r w:rsidR="00BB728A" w:rsidRPr="00E47D00">
          <w:rPr>
            <w:rStyle w:val="Hyperlink"/>
            <w:rFonts w:cs="Arial"/>
          </w:rPr>
          <w:t>Strengthening Medicare Taskforce Report</w:t>
        </w:r>
      </w:hyperlink>
    </w:p>
    <w:p w14:paraId="0569C55D" w14:textId="5F83962F" w:rsidR="00BB728A" w:rsidRPr="001D78B9" w:rsidRDefault="00BB728A" w:rsidP="001D78B9">
      <w:pPr>
        <w:pStyle w:val="ListBullet"/>
      </w:pPr>
      <w:r w:rsidRPr="0092083A">
        <w:rPr>
          <w:rStyle w:val="Hyperlink"/>
          <w:rFonts w:cs="Arial"/>
        </w:rPr>
        <w:t>National Preventative Health Strategy 2021-30</w:t>
      </w:r>
    </w:p>
    <w:p w14:paraId="45C522E1" w14:textId="2F30BE1A" w:rsidR="00BB728A" w:rsidRDefault="00731F04" w:rsidP="001D78B9">
      <w:pPr>
        <w:pStyle w:val="ListBullet"/>
        <w:rPr>
          <w:rFonts w:cs="Arial"/>
          <w:color w:val="000000" w:themeColor="text1"/>
        </w:rPr>
      </w:pPr>
      <w:hyperlink r:id="rId38" w:history="1">
        <w:r w:rsidR="00BB728A">
          <w:rPr>
            <w:rStyle w:val="Hyperlink"/>
            <w:rFonts w:cs="Arial"/>
          </w:rPr>
          <w:t xml:space="preserve">National Health Reform Agreement 2020-25 </w:t>
        </w:r>
      </w:hyperlink>
    </w:p>
    <w:p w14:paraId="039F33D7" w14:textId="4F8AE558" w:rsidR="001E72CF" w:rsidRPr="00020E50" w:rsidRDefault="00731F04" w:rsidP="001D78B9">
      <w:pPr>
        <w:pStyle w:val="ListBullet"/>
        <w:rPr>
          <w:rFonts w:cs="Arial"/>
          <w:color w:val="000000" w:themeColor="text1"/>
        </w:rPr>
      </w:pPr>
      <w:hyperlink r:id="rId39" w:history="1">
        <w:r w:rsidR="001E72CF" w:rsidRPr="00DC0E11">
          <w:rPr>
            <w:rStyle w:val="Hyperlink"/>
            <w:rFonts w:cs="Arial"/>
          </w:rPr>
          <w:t>National Strategic Framework for Chronic Conditions</w:t>
        </w:r>
      </w:hyperlink>
    </w:p>
    <w:p w14:paraId="4D4EB558" w14:textId="240C1FE7" w:rsidR="00A8181C" w:rsidRPr="00E975F1" w:rsidRDefault="0004064B" w:rsidP="00167E98">
      <w:pPr>
        <w:pStyle w:val="Heading2"/>
      </w:pPr>
      <w:bookmarkStart w:id="26" w:name="_Toc157771516"/>
      <w:r>
        <w:rPr>
          <w:noProof/>
          <w:lang w:eastAsia="en-AU"/>
        </w:rPr>
        <w:drawing>
          <wp:inline distT="0" distB="0" distL="0" distR="0" wp14:anchorId="4898EDC2" wp14:editId="2DE60192">
            <wp:extent cx="466725" cy="466725"/>
            <wp:effectExtent l="0" t="0" r="9525" b="9525"/>
            <wp:docPr id="30" name="Graphic 30" descr="Stethosco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ethoscope outline"/>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466725" cy="466725"/>
                    </a:xfrm>
                    <a:prstGeom prst="rect">
                      <a:avLst/>
                    </a:prstGeom>
                  </pic:spPr>
                </pic:pic>
              </a:graphicData>
            </a:graphic>
          </wp:inline>
        </w:drawing>
      </w:r>
      <w:r w:rsidRPr="0004064B">
        <w:t>Primary care</w:t>
      </w:r>
      <w:bookmarkEnd w:id="26"/>
    </w:p>
    <w:p w14:paraId="4CD91635" w14:textId="7000AB60" w:rsidR="0042781D" w:rsidRDefault="00D449F7" w:rsidP="006C6B86">
      <w:r>
        <w:t>M</w:t>
      </w:r>
      <w:r w:rsidR="0036611B" w:rsidRPr="552F04AF">
        <w:t>ost</w:t>
      </w:r>
      <w:r w:rsidR="0036611B" w:rsidRPr="0036611B">
        <w:t xml:space="preserve"> people with PASC can be supported through primary care services, though some may require other</w:t>
      </w:r>
      <w:r w:rsidR="00C9680F">
        <w:t xml:space="preserve">, </w:t>
      </w:r>
      <w:r w:rsidR="0036611B" w:rsidRPr="0036611B">
        <w:t>non</w:t>
      </w:r>
      <w:r w:rsidR="007A2112">
        <w:t>-</w:t>
      </w:r>
      <w:r w:rsidR="0036611B" w:rsidRPr="0036611B">
        <w:t>G</w:t>
      </w:r>
      <w:r w:rsidR="00C9680F">
        <w:t xml:space="preserve">eneral </w:t>
      </w:r>
      <w:r w:rsidR="0036611B" w:rsidRPr="0036611B">
        <w:t>P</w:t>
      </w:r>
      <w:r w:rsidR="00C9680F">
        <w:t>ractitioner</w:t>
      </w:r>
      <w:r w:rsidR="003353B0">
        <w:t xml:space="preserve"> (GP)</w:t>
      </w:r>
      <w:r w:rsidR="00D0340C">
        <w:t>,</w:t>
      </w:r>
      <w:r w:rsidR="0036611B" w:rsidRPr="0036611B">
        <w:t xml:space="preserve"> specialist</w:t>
      </w:r>
      <w:r w:rsidR="00C216AF">
        <w:t xml:space="preserve"> or allied health</w:t>
      </w:r>
      <w:r w:rsidR="0036611B" w:rsidRPr="0036611B">
        <w:t xml:space="preserve"> referral. </w:t>
      </w:r>
      <w:r w:rsidR="00262E6D">
        <w:t>This is consistent with the</w:t>
      </w:r>
      <w:r w:rsidR="00DC0E4F">
        <w:t xml:space="preserve"> </w:t>
      </w:r>
      <w:r w:rsidR="000E0103">
        <w:t>final</w:t>
      </w:r>
      <w:r w:rsidR="00262E6D">
        <w:t xml:space="preserve"> recommendations arising from </w:t>
      </w:r>
      <w:r w:rsidR="000E0103">
        <w:t>the long COVID Inquiry</w:t>
      </w:r>
      <w:r w:rsidR="00BD6636">
        <w:t>.</w:t>
      </w:r>
    </w:p>
    <w:p w14:paraId="223095A0" w14:textId="353E92BA" w:rsidR="4E18B41F" w:rsidRDefault="0036611B" w:rsidP="006C6B86">
      <w:r w:rsidRPr="0036611B">
        <w:t xml:space="preserve">Patients with PASC can currently access Medicare Benefits Schedule (MBS) items for the management of their condition, including time-tiered </w:t>
      </w:r>
      <w:r w:rsidR="003353B0">
        <w:t>GP</w:t>
      </w:r>
      <w:r w:rsidRPr="0036611B">
        <w:t xml:space="preserve"> attendance items and specialist general consultation items. Patients may also be eligible for MBS </w:t>
      </w:r>
      <w:r w:rsidR="00DC13FB">
        <w:t>c</w:t>
      </w:r>
      <w:r w:rsidRPr="0036611B">
        <w:t xml:space="preserve">hronic </w:t>
      </w:r>
      <w:r w:rsidR="00DC13FB">
        <w:t>d</w:t>
      </w:r>
      <w:r w:rsidRPr="0036611B">
        <w:t xml:space="preserve">isease </w:t>
      </w:r>
      <w:r w:rsidR="00DC13FB">
        <w:t>m</w:t>
      </w:r>
      <w:r w:rsidRPr="0036611B">
        <w:t xml:space="preserve">anagement </w:t>
      </w:r>
      <w:r w:rsidRPr="00C87459">
        <w:t>items</w:t>
      </w:r>
      <w:r w:rsidRPr="0036611B">
        <w:t xml:space="preserve">, which enable GPs to plan and coordinate patient care and refer patients to MBS subsidised allied health services. </w:t>
      </w:r>
    </w:p>
    <w:p w14:paraId="66B57AF4" w14:textId="77777777" w:rsidR="002D70B9" w:rsidRPr="002D70B9" w:rsidRDefault="00E70CDF" w:rsidP="006C6B86">
      <w:pPr>
        <w:rPr>
          <w:rFonts w:eastAsiaTheme="minorEastAsia"/>
        </w:rPr>
      </w:pPr>
      <w:r w:rsidRPr="56DBAB40">
        <w:t xml:space="preserve">Medicare </w:t>
      </w:r>
      <w:r w:rsidRPr="436E27FA">
        <w:t xml:space="preserve">is the foundation of </w:t>
      </w:r>
      <w:r w:rsidRPr="33B75171">
        <w:t>Australia’s</w:t>
      </w:r>
      <w:r w:rsidRPr="02623947">
        <w:t xml:space="preserve"> primary </w:t>
      </w:r>
      <w:r w:rsidRPr="56D8AB50">
        <w:t>health care system</w:t>
      </w:r>
      <w:r w:rsidRPr="45605BF7">
        <w:t>,</w:t>
      </w:r>
      <w:r w:rsidRPr="33B75171">
        <w:t xml:space="preserve"> and</w:t>
      </w:r>
      <w:r w:rsidR="00D204EA">
        <w:t xml:space="preserve"> the Government </w:t>
      </w:r>
      <w:r w:rsidR="00DB28A5">
        <w:t>continues to support healthcare</w:t>
      </w:r>
      <w:r w:rsidRPr="38CEEF3A">
        <w:t xml:space="preserve"> reforms </w:t>
      </w:r>
      <w:r w:rsidRPr="32903808">
        <w:t>to</w:t>
      </w:r>
      <w:r>
        <w:t xml:space="preserve"> </w:t>
      </w:r>
      <w:r w:rsidRPr="32903808">
        <w:t>ensure</w:t>
      </w:r>
      <w:r w:rsidRPr="4F174B1F">
        <w:t xml:space="preserve"> Australians can </w:t>
      </w:r>
      <w:r w:rsidRPr="002C527C">
        <w:rPr>
          <w:rFonts w:eastAsiaTheme="minorEastAsia"/>
        </w:rPr>
        <w:t>have improved access to primary care services and better integrated multidisciplinary-based care, when and where they need it</w:t>
      </w:r>
      <w:r w:rsidR="23A9BEBC" w:rsidRPr="3BC41394">
        <w:rPr>
          <w:rFonts w:eastAsiaTheme="minorEastAsia"/>
        </w:rPr>
        <w:t>.</w:t>
      </w:r>
      <w:r w:rsidR="00F26950" w:rsidRPr="002D70B9">
        <w:rPr>
          <w:rFonts w:eastAsiaTheme="minorEastAsia"/>
        </w:rPr>
        <w:t xml:space="preserve"> </w:t>
      </w:r>
    </w:p>
    <w:p w14:paraId="3F14983E" w14:textId="58D4A30F" w:rsidR="00B652BF" w:rsidRDefault="002D70B9" w:rsidP="006C6B86">
      <w:pPr>
        <w:rPr>
          <w:rFonts w:eastAsia="Arial"/>
        </w:rPr>
      </w:pPr>
      <w:r w:rsidRPr="002D70B9">
        <w:t>The Australian Government announced a historic $6.1 billion of investments in the 2023-24 Budget to lay the foundations for a stronger Medicare. This Budget delivers critical funding to meet the urgent healthcare needs of today, while starting reforms to build a stronger Medicare for future generations and responding to the recommendations of the Strengthening Medicare Taskforce.</w:t>
      </w:r>
      <w:r w:rsidR="0049301C">
        <w:t xml:space="preserve"> </w:t>
      </w:r>
      <w:r w:rsidR="00D14A1C" w:rsidRPr="2D2867E7">
        <w:rPr>
          <w:rFonts w:eastAsia="Arial"/>
          <w:color w:val="000000" w:themeColor="text1"/>
        </w:rPr>
        <w:t xml:space="preserve">These reforms present an opportunity to support individuals with the management and treatment of </w:t>
      </w:r>
      <w:r w:rsidR="00D14A1C" w:rsidRPr="2D2867E7">
        <w:rPr>
          <w:rFonts w:eastAsia="Arial"/>
        </w:rPr>
        <w:t>complex and chronic conditions, including PASC.</w:t>
      </w:r>
      <w:r w:rsidR="00645FEB" w:rsidRPr="2D2867E7">
        <w:rPr>
          <w:rFonts w:eastAsia="Arial"/>
        </w:rPr>
        <w:t xml:space="preserve"> </w:t>
      </w:r>
    </w:p>
    <w:p w14:paraId="332B15E1" w14:textId="04E10D0B" w:rsidR="0042515B" w:rsidRDefault="00B652BF" w:rsidP="006C6B86">
      <w:pPr>
        <w:rPr>
          <w:color w:val="000000" w:themeColor="text1"/>
        </w:rPr>
      </w:pPr>
      <w:r w:rsidRPr="2D2867E7">
        <w:t xml:space="preserve">Patients with PASC </w:t>
      </w:r>
      <w:r w:rsidR="006E587E">
        <w:t>are now</w:t>
      </w:r>
      <w:r w:rsidRPr="2D2867E7">
        <w:t xml:space="preserve"> eligible for a larger Medicare rebate</w:t>
      </w:r>
      <w:r w:rsidRPr="00480B3A">
        <w:t xml:space="preserve"> </w:t>
      </w:r>
      <w:r w:rsidRPr="2D2867E7">
        <w:t xml:space="preserve">following the creation of a new MBS item for consultations longer than 60 minutes. </w:t>
      </w:r>
      <w:r>
        <w:t>These new MBS items will enable doctors to provide higher quality care to people with chronic or complex needs.</w:t>
      </w:r>
      <w:r w:rsidRPr="005C26EE">
        <w:rPr>
          <w:color w:val="000000" w:themeColor="text1"/>
        </w:rPr>
        <w:t xml:space="preserve"> </w:t>
      </w:r>
    </w:p>
    <w:p w14:paraId="44A60855" w14:textId="04A1183A" w:rsidR="00B652BF" w:rsidRPr="00F95AAD" w:rsidRDefault="00B652BF" w:rsidP="006C6B86">
      <w:r>
        <w:t>Additionally, people with PASC will be able to benefit from</w:t>
      </w:r>
      <w:r w:rsidRPr="48FFDAE5">
        <w:t xml:space="preserve"> t</w:t>
      </w:r>
      <w:r w:rsidRPr="6FC274B9">
        <w:t>he Government</w:t>
      </w:r>
      <w:r>
        <w:t>’s</w:t>
      </w:r>
      <w:r w:rsidRPr="6FC274B9">
        <w:t xml:space="preserve"> $445.1</w:t>
      </w:r>
      <w:r w:rsidR="00277ACA">
        <w:t> </w:t>
      </w:r>
      <w:r w:rsidRPr="6FC274B9">
        <w:t>million</w:t>
      </w:r>
      <w:r>
        <w:t xml:space="preserve"> commitment over 5 years</w:t>
      </w:r>
      <w:r w:rsidRPr="6FC274B9">
        <w:t xml:space="preserve"> to expand general practices and improve patient care </w:t>
      </w:r>
      <w:r>
        <w:t>by</w:t>
      </w:r>
      <w:r w:rsidRPr="6FC274B9">
        <w:t xml:space="preserve"> incentivising practices to employ a range of health professionals to </w:t>
      </w:r>
      <w:r w:rsidRPr="00C87459">
        <w:t>provide</w:t>
      </w:r>
      <w:r w:rsidRPr="6FC274B9">
        <w:t xml:space="preserve"> team-based care</w:t>
      </w:r>
      <w:r>
        <w:t>.</w:t>
      </w:r>
      <w:r>
        <w:rPr>
          <w:rFonts w:eastAsia="Arial"/>
        </w:rPr>
        <w:t xml:space="preserve"> From </w:t>
      </w:r>
      <w:r w:rsidRPr="002F29A3">
        <w:rPr>
          <w:rFonts w:eastAsia="Arial"/>
        </w:rPr>
        <w:t xml:space="preserve">1 November 2024, </w:t>
      </w:r>
      <w:r>
        <w:rPr>
          <w:rFonts w:eastAsia="Arial"/>
        </w:rPr>
        <w:t>people with PASC will also benefit from</w:t>
      </w:r>
      <w:r w:rsidRPr="002F29A3">
        <w:rPr>
          <w:rFonts w:eastAsia="Arial"/>
        </w:rPr>
        <w:t xml:space="preserve"> </w:t>
      </w:r>
      <w:r>
        <w:rPr>
          <w:rFonts w:eastAsia="Arial"/>
        </w:rPr>
        <w:t xml:space="preserve">streamlined arrangements for chronic disease management plans, and equalisation of the benefits </w:t>
      </w:r>
      <w:r w:rsidRPr="002F29A3">
        <w:rPr>
          <w:rFonts w:eastAsia="Arial"/>
        </w:rPr>
        <w:t xml:space="preserve">for </w:t>
      </w:r>
      <w:r>
        <w:rPr>
          <w:rFonts w:eastAsia="Arial"/>
        </w:rPr>
        <w:t xml:space="preserve">planning and </w:t>
      </w:r>
      <w:r w:rsidRPr="002F29A3">
        <w:rPr>
          <w:rFonts w:eastAsia="Arial"/>
        </w:rPr>
        <w:t xml:space="preserve">reviews of chronic disease management </w:t>
      </w:r>
      <w:r w:rsidRPr="002F29A3">
        <w:rPr>
          <w:rFonts w:eastAsia="Arial"/>
        </w:rPr>
        <w:lastRenderedPageBreak/>
        <w:t>plans by GP</w:t>
      </w:r>
      <w:r>
        <w:rPr>
          <w:rFonts w:eastAsia="Arial"/>
        </w:rPr>
        <w:t>s. This will encourage</w:t>
      </w:r>
      <w:r w:rsidRPr="002F29A3">
        <w:rPr>
          <w:rFonts w:eastAsia="Arial"/>
        </w:rPr>
        <w:t xml:space="preserve"> more regular patient management and treatment</w:t>
      </w:r>
      <w:r>
        <w:rPr>
          <w:rFonts w:eastAsia="Arial"/>
        </w:rPr>
        <w:t xml:space="preserve"> reviews resulting in better outcomes.</w:t>
      </w:r>
    </w:p>
    <w:p w14:paraId="31FF0DEB" w14:textId="1136560E" w:rsidR="00D14A1C" w:rsidRDefault="00BD0733" w:rsidP="006C6B86">
      <w:pPr>
        <w:rPr>
          <w:rFonts w:eastAsia="Arial"/>
        </w:rPr>
      </w:pPr>
      <w:r>
        <w:t xml:space="preserve">Some people with PASC will </w:t>
      </w:r>
      <w:r w:rsidR="00DB28A5">
        <w:t xml:space="preserve">also </w:t>
      </w:r>
      <w:r w:rsidR="00107483">
        <w:t xml:space="preserve">benefit </w:t>
      </w:r>
      <w:r>
        <w:t xml:space="preserve">from the Government’s $3.5 billion investment to triple bulk </w:t>
      </w:r>
      <w:r w:rsidRPr="00427326">
        <w:t>billing incentiv</w:t>
      </w:r>
      <w:r>
        <w:t xml:space="preserve">es </w:t>
      </w:r>
      <w:r w:rsidR="00B652BF">
        <w:t>for the most common GP consultations items, to support GPs to continue bulk billing patients.</w:t>
      </w:r>
      <w:r w:rsidRPr="00427326">
        <w:t xml:space="preserve"> </w:t>
      </w:r>
      <w:r w:rsidR="00B652BF">
        <w:t>C</w:t>
      </w:r>
      <w:r w:rsidRPr="00427326">
        <w:t>hildren under 16, pensioners</w:t>
      </w:r>
      <w:r w:rsidR="00DB28A5">
        <w:t>,</w:t>
      </w:r>
      <w:r w:rsidRPr="00427326">
        <w:t xml:space="preserve"> and other Commonwealth concession card holders</w:t>
      </w:r>
      <w:r w:rsidR="00B652BF">
        <w:t xml:space="preserve"> </w:t>
      </w:r>
      <w:r w:rsidR="00D71AAB">
        <w:t>are</w:t>
      </w:r>
      <w:r w:rsidR="00B652BF">
        <w:t xml:space="preserve"> eligible for the increased incentives</w:t>
      </w:r>
      <w:r w:rsidR="00D71AAB">
        <w:t xml:space="preserve"> that commenced</w:t>
      </w:r>
      <w:r w:rsidR="0042515B">
        <w:t xml:space="preserve"> on</w:t>
      </w:r>
      <w:r w:rsidR="00B652BF">
        <w:t xml:space="preserve"> 1 November 2023</w:t>
      </w:r>
      <w:r w:rsidRPr="00427326">
        <w:t>.</w:t>
      </w:r>
      <w:r w:rsidRPr="00BD0733">
        <w:t xml:space="preserve"> </w:t>
      </w:r>
      <w:r w:rsidR="00B61044">
        <w:t>People with PASC could benefit from</w:t>
      </w:r>
      <w:r w:rsidRPr="1D35850A">
        <w:t xml:space="preserve"> increased </w:t>
      </w:r>
      <w:r w:rsidRPr="5558D1EA">
        <w:t xml:space="preserve">access to multidisciplinary care </w:t>
      </w:r>
      <w:r w:rsidRPr="35CEA377">
        <w:t xml:space="preserve">through </w:t>
      </w:r>
      <w:r>
        <w:rPr>
          <w:rFonts w:eastAsia="Arial"/>
        </w:rPr>
        <w:t xml:space="preserve">the Government’s commitment of $79.4 million over 4 years to </w:t>
      </w:r>
      <w:r w:rsidRPr="00B20C66">
        <w:rPr>
          <w:rFonts w:eastAsia="Arial"/>
        </w:rPr>
        <w:t xml:space="preserve">support Primary Health Networks </w:t>
      </w:r>
      <w:r w:rsidR="00E435FD">
        <w:rPr>
          <w:rFonts w:eastAsia="Arial"/>
        </w:rPr>
        <w:t>in</w:t>
      </w:r>
      <w:r w:rsidRPr="00B20C66">
        <w:rPr>
          <w:rFonts w:eastAsia="Arial"/>
        </w:rPr>
        <w:t xml:space="preserve"> commission</w:t>
      </w:r>
      <w:r w:rsidR="00E435FD">
        <w:rPr>
          <w:rFonts w:eastAsia="Arial"/>
        </w:rPr>
        <w:t>ing</w:t>
      </w:r>
      <w:r w:rsidRPr="00B20C66">
        <w:rPr>
          <w:rFonts w:eastAsia="Arial"/>
        </w:rPr>
        <w:t xml:space="preserve"> </w:t>
      </w:r>
      <w:r w:rsidR="00B61044">
        <w:rPr>
          <w:rFonts w:eastAsia="Arial"/>
        </w:rPr>
        <w:t>multidisciplinary team</w:t>
      </w:r>
      <w:r w:rsidR="00B61044" w:rsidRPr="00B20C66">
        <w:rPr>
          <w:rFonts w:eastAsia="Arial"/>
        </w:rPr>
        <w:t xml:space="preserve"> </w:t>
      </w:r>
      <w:r w:rsidRPr="00B20C66">
        <w:rPr>
          <w:rFonts w:eastAsia="Arial"/>
        </w:rPr>
        <w:t xml:space="preserve">health services </w:t>
      </w:r>
      <w:r w:rsidR="00EF6D0B">
        <w:rPr>
          <w:rFonts w:eastAsia="Arial"/>
        </w:rPr>
        <w:t xml:space="preserve">for </w:t>
      </w:r>
      <w:r w:rsidR="002E57CA">
        <w:rPr>
          <w:rFonts w:eastAsia="Arial"/>
        </w:rPr>
        <w:t xml:space="preserve">the </w:t>
      </w:r>
      <w:r w:rsidR="00EF6D0B">
        <w:rPr>
          <w:rFonts w:eastAsia="Arial"/>
        </w:rPr>
        <w:t>management of</w:t>
      </w:r>
      <w:r w:rsidRPr="349D0CD2">
        <w:rPr>
          <w:rFonts w:eastAsia="Arial"/>
        </w:rPr>
        <w:t xml:space="preserve"> </w:t>
      </w:r>
      <w:r w:rsidRPr="00B20C66">
        <w:rPr>
          <w:rFonts w:eastAsia="Arial"/>
        </w:rPr>
        <w:t xml:space="preserve">people with chronic conditions </w:t>
      </w:r>
      <w:r w:rsidR="00B652BF">
        <w:rPr>
          <w:rFonts w:eastAsia="Arial"/>
        </w:rPr>
        <w:t xml:space="preserve">and mental health conditions </w:t>
      </w:r>
      <w:r w:rsidR="00BA0E0E">
        <w:rPr>
          <w:rFonts w:eastAsia="Arial"/>
        </w:rPr>
        <w:t>in underserviced</w:t>
      </w:r>
      <w:r w:rsidRPr="05D1055C">
        <w:rPr>
          <w:rFonts w:eastAsia="Arial"/>
        </w:rPr>
        <w:t xml:space="preserve"> </w:t>
      </w:r>
      <w:r w:rsidRPr="00B20C66">
        <w:rPr>
          <w:rFonts w:eastAsia="Arial"/>
        </w:rPr>
        <w:t>communities.</w:t>
      </w:r>
      <w:r w:rsidRPr="48FFDAE5">
        <w:rPr>
          <w:rFonts w:eastAsia="Arial"/>
        </w:rPr>
        <w:t xml:space="preserve"> </w:t>
      </w:r>
    </w:p>
    <w:p w14:paraId="7F060F5F" w14:textId="65A09B11" w:rsidR="00575A65" w:rsidRDefault="00D204EA" w:rsidP="006C6B86">
      <w:r>
        <w:t>Additionally, p</w:t>
      </w:r>
      <w:r w:rsidR="00534AF3">
        <w:t>eople</w:t>
      </w:r>
      <w:r w:rsidR="004E0F43">
        <w:t xml:space="preserve"> with PASC will benefit from the introduction of </w:t>
      </w:r>
      <w:proofErr w:type="spellStart"/>
      <w:r w:rsidR="004E0F43">
        <w:t>MyMedicare</w:t>
      </w:r>
      <w:proofErr w:type="spellEnd"/>
      <w:r w:rsidR="004E0F43">
        <w:t xml:space="preserve"> services</w:t>
      </w:r>
      <w:r w:rsidR="251B983E" w:rsidRPr="4B0FA3B2">
        <w:t>.</w:t>
      </w:r>
      <w:r w:rsidR="004E0F43" w:rsidRPr="0036611B">
        <w:t xml:space="preserve"> </w:t>
      </w:r>
      <w:proofErr w:type="spellStart"/>
      <w:r w:rsidR="004D0C70" w:rsidRPr="0036611B">
        <w:t>MyMedicare</w:t>
      </w:r>
      <w:proofErr w:type="spellEnd"/>
      <w:r w:rsidR="004D0C70" w:rsidRPr="0036611B">
        <w:t xml:space="preserve"> will support </w:t>
      </w:r>
      <w:r w:rsidR="004D0C70">
        <w:t xml:space="preserve">the </w:t>
      </w:r>
      <w:r w:rsidR="004D0C70" w:rsidRPr="0036611B">
        <w:t xml:space="preserve">development of stronger relationships between patients and their primary care teams, for those who choose to opt-in. This will promote </w:t>
      </w:r>
      <w:r w:rsidR="004D0C70" w:rsidRPr="00261EE5">
        <w:t>continuity</w:t>
      </w:r>
      <w:r w:rsidR="004D0C70" w:rsidRPr="0036611B">
        <w:t xml:space="preserve"> of </w:t>
      </w:r>
      <w:r w:rsidR="004D0C70" w:rsidRPr="00C87459">
        <w:t>care</w:t>
      </w:r>
      <w:r w:rsidR="004D0C70" w:rsidRPr="0036611B">
        <w:t>, particularly for those requiring longer consultations or multidisciplinary care, and improve access to telehealth consultations for patients who have registered with their local GP.</w:t>
      </w:r>
      <w:r w:rsidR="00FC4FA0" w:rsidRPr="00FC4FA0">
        <w:t xml:space="preserve"> </w:t>
      </w:r>
      <w:r w:rsidR="7EEBFD03" w:rsidRPr="33C86689">
        <w:t>Registration</w:t>
      </w:r>
      <w:r w:rsidR="7EEBFD03" w:rsidRPr="7D57B486">
        <w:t xml:space="preserve"> for </w:t>
      </w:r>
      <w:proofErr w:type="spellStart"/>
      <w:r w:rsidR="7EEBFD03" w:rsidRPr="7D57B486">
        <w:t>MyMedicare</w:t>
      </w:r>
      <w:proofErr w:type="spellEnd"/>
      <w:r w:rsidR="7EEBFD03" w:rsidRPr="7D57B486">
        <w:t xml:space="preserve"> opened on 1</w:t>
      </w:r>
      <w:r w:rsidR="00C9341A">
        <w:t> </w:t>
      </w:r>
      <w:r w:rsidR="7EEBFD03" w:rsidRPr="7D57B486">
        <w:t>October</w:t>
      </w:r>
      <w:r w:rsidR="00D449F7">
        <w:t> </w:t>
      </w:r>
      <w:r w:rsidR="7EEBFD03" w:rsidRPr="7D57B486">
        <w:t>2023.</w:t>
      </w:r>
      <w:r w:rsidR="00FC4FA0" w:rsidRPr="5DE8F58B">
        <w:t xml:space="preserve"> </w:t>
      </w:r>
      <w:r w:rsidR="002B017E" w:rsidRPr="002B017E">
        <w:t xml:space="preserve">From mid-2024, </w:t>
      </w:r>
      <w:r w:rsidR="00837E16">
        <w:t>people</w:t>
      </w:r>
      <w:r w:rsidR="002B017E" w:rsidRPr="002C527C">
        <w:t xml:space="preserve"> with PASC</w:t>
      </w:r>
      <w:r w:rsidR="002B017E" w:rsidRPr="002B017E">
        <w:t xml:space="preserve"> who </w:t>
      </w:r>
      <w:r w:rsidR="002B017E" w:rsidRPr="002C527C">
        <w:t xml:space="preserve">have registered for </w:t>
      </w:r>
      <w:proofErr w:type="spellStart"/>
      <w:r w:rsidR="002B017E" w:rsidRPr="002C527C">
        <w:t>MyMedicare</w:t>
      </w:r>
      <w:proofErr w:type="spellEnd"/>
      <w:r w:rsidR="002B017E" w:rsidRPr="002C527C">
        <w:t xml:space="preserve"> and </w:t>
      </w:r>
      <w:r w:rsidR="002B017E" w:rsidRPr="002B017E">
        <w:t>visit the hospital frequently will benefit from connections to more appropriate care in general practice</w:t>
      </w:r>
      <w:r w:rsidR="002B017E" w:rsidRPr="002C527C">
        <w:t>.</w:t>
      </w:r>
      <w:r w:rsidR="00B84F83">
        <w:t xml:space="preserve"> </w:t>
      </w:r>
      <w:r w:rsidR="002B017E" w:rsidRPr="002C527C">
        <w:t xml:space="preserve">From </w:t>
      </w:r>
      <w:r w:rsidR="002B017E" w:rsidRPr="002B017E">
        <w:t xml:space="preserve">August 2024, </w:t>
      </w:r>
      <w:proofErr w:type="spellStart"/>
      <w:r w:rsidR="002B017E" w:rsidRPr="002C527C">
        <w:t>MyMedicare</w:t>
      </w:r>
      <w:proofErr w:type="spellEnd"/>
      <w:r w:rsidR="002B017E" w:rsidRPr="002C527C">
        <w:t xml:space="preserve"> </w:t>
      </w:r>
      <w:r w:rsidR="002B017E" w:rsidRPr="002B017E">
        <w:t>patients who live in a residential aged care home will have access to more regular visits from their GP and better care planning</w:t>
      </w:r>
      <w:r w:rsidR="002B017E">
        <w:t>.</w:t>
      </w:r>
      <w:r w:rsidR="002B017E" w:rsidDel="00E957D9">
        <w:t xml:space="preserve"> </w:t>
      </w:r>
    </w:p>
    <w:p w14:paraId="42F5BDE6" w14:textId="47AE91FE" w:rsidR="00CF62F0" w:rsidRDefault="00EA18CF" w:rsidP="006C6B86">
      <w:r w:rsidRPr="6FC274B9">
        <w:t xml:space="preserve">In June </w:t>
      </w:r>
      <w:r w:rsidR="0055772E" w:rsidRPr="6FC274B9">
        <w:t xml:space="preserve">2023, </w:t>
      </w:r>
      <w:r w:rsidR="00EF07F7">
        <w:t xml:space="preserve">the Government announced </w:t>
      </w:r>
      <w:r w:rsidR="0055772E" w:rsidRPr="6FC274B9">
        <w:t>a</w:t>
      </w:r>
      <w:r w:rsidRPr="6FC274B9">
        <w:t xml:space="preserve"> new $50 million research initiative to drive innovation in primary care. Priority groups for research will include people with complex chronic conditions. Funding will be targeted to research focusing on identifying and evaluating models of primary care including team-based care, the application of research findings in primary care settings and spreading knowledge to improve person-</w:t>
      </w:r>
      <w:r w:rsidR="00B22556" w:rsidRPr="6FC274B9">
        <w:t>centred</w:t>
      </w:r>
      <w:r w:rsidRPr="6FC274B9">
        <w:t xml:space="preserve"> care, and </w:t>
      </w:r>
      <w:r w:rsidRPr="00C87459">
        <w:t>better</w:t>
      </w:r>
      <w:r w:rsidRPr="6FC274B9">
        <w:t xml:space="preserve"> use of data and digital technologies to evaluate models and support health system planning. Research projects </w:t>
      </w:r>
      <w:r>
        <w:t>will</w:t>
      </w:r>
      <w:r w:rsidRPr="6FC274B9">
        <w:t xml:space="preserve"> be funded from July 2024. </w:t>
      </w:r>
      <w:r w:rsidR="009A795E">
        <w:t>The</w:t>
      </w:r>
      <w:r w:rsidR="005571B6">
        <w:t xml:space="preserve"> </w:t>
      </w:r>
      <w:r w:rsidR="008D24E0">
        <w:t>outcomes of this research will help inform and improve the</w:t>
      </w:r>
      <w:r w:rsidR="0029776D">
        <w:t xml:space="preserve"> </w:t>
      </w:r>
      <w:proofErr w:type="gramStart"/>
      <w:r w:rsidR="0029776D">
        <w:t>primary-care</w:t>
      </w:r>
      <w:proofErr w:type="gramEnd"/>
      <w:r w:rsidR="0029776D">
        <w:t xml:space="preserve"> based</w:t>
      </w:r>
      <w:r w:rsidR="005571B6">
        <w:t xml:space="preserve"> models of care available to people with PASC.</w:t>
      </w:r>
    </w:p>
    <w:p w14:paraId="788CDE2F" w14:textId="05BB9C01" w:rsidR="00E11E42" w:rsidRDefault="00E11E42" w:rsidP="00260EC9">
      <w:pPr>
        <w:rPr>
          <w:rFonts w:eastAsia="Arial" w:cs="Arial"/>
        </w:rPr>
      </w:pPr>
      <w:r>
        <w:rPr>
          <w:rFonts w:eastAsia="Arial" w:cs="Arial"/>
        </w:rPr>
        <w:br w:type="page"/>
      </w:r>
    </w:p>
    <w:p w14:paraId="3E7539CE" w14:textId="377D0EF5" w:rsidR="0004064B" w:rsidRDefault="0004064B" w:rsidP="0004064B">
      <w:pPr>
        <w:pStyle w:val="Heading2"/>
      </w:pPr>
      <w:bookmarkStart w:id="27" w:name="_Toc157771517"/>
      <w:r>
        <w:rPr>
          <w:rFonts w:ascii="Arial" w:eastAsia="Arial" w:hAnsi="Arial" w:cs="Arial"/>
          <w:noProof/>
        </w:rPr>
        <w:lastRenderedPageBreak/>
        <w:drawing>
          <wp:inline distT="0" distB="0" distL="0" distR="0" wp14:anchorId="18AD3815" wp14:editId="484D46E9">
            <wp:extent cx="525600" cy="525600"/>
            <wp:effectExtent l="0" t="0" r="0" b="8255"/>
            <wp:docPr id="31" name="Graphic 31" descr="Brain in hea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Brain in head outline"/>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525600" cy="525600"/>
                    </a:xfrm>
                    <a:prstGeom prst="rect">
                      <a:avLst/>
                    </a:prstGeom>
                  </pic:spPr>
                </pic:pic>
              </a:graphicData>
            </a:graphic>
          </wp:inline>
        </w:drawing>
      </w:r>
      <w:r w:rsidRPr="0004064B">
        <w:t>Mental health</w:t>
      </w:r>
      <w:bookmarkEnd w:id="27"/>
    </w:p>
    <w:p w14:paraId="7957E3EF" w14:textId="6394C3B9" w:rsidR="00203326" w:rsidRDefault="00DB28A5" w:rsidP="006C6B86">
      <w:r>
        <w:t xml:space="preserve">People with PASC can access </w:t>
      </w:r>
      <w:proofErr w:type="gramStart"/>
      <w:r>
        <w:t xml:space="preserve">a </w:t>
      </w:r>
      <w:r w:rsidR="00144774" w:rsidRPr="780EDDA8">
        <w:t>number of</w:t>
      </w:r>
      <w:proofErr w:type="gramEnd"/>
      <w:r w:rsidR="00144774" w:rsidRPr="780EDDA8">
        <w:t xml:space="preserve"> mental health supports</w:t>
      </w:r>
      <w:r w:rsidR="007E6BCC">
        <w:t>.</w:t>
      </w:r>
      <w:r w:rsidR="00203326" w:rsidRPr="780EDDA8">
        <w:t xml:space="preserve"> These include Medicare-subsidised </w:t>
      </w:r>
      <w:r w:rsidR="0771FD89" w:rsidRPr="3AB82A60">
        <w:t xml:space="preserve">mental health </w:t>
      </w:r>
      <w:r w:rsidR="00203326" w:rsidRPr="780EDDA8">
        <w:t xml:space="preserve">services through the MBS Better Access Initiative, access to telehealth arrangements, </w:t>
      </w:r>
      <w:r w:rsidR="5DDC439E" w:rsidRPr="780EDDA8">
        <w:t xml:space="preserve">a range of online and digital supports and </w:t>
      </w:r>
      <w:r w:rsidR="00203326" w:rsidRPr="780EDDA8">
        <w:t>access to mental health support through MBS chronic disease management items.</w:t>
      </w:r>
    </w:p>
    <w:p w14:paraId="14837AE4" w14:textId="280D8AC5" w:rsidR="001955DA" w:rsidRDefault="00203326" w:rsidP="006C6B86">
      <w:r w:rsidRPr="2D2867E7">
        <w:t xml:space="preserve">The national Head to Health program offers free information, programs and services to all Australians seeking support with their mental health and wellbeing. It is positioned to offer support to people with PASC through the mental health </w:t>
      </w:r>
      <w:r w:rsidR="00391334" w:rsidRPr="2D2867E7">
        <w:t xml:space="preserve">services </w:t>
      </w:r>
      <w:r w:rsidRPr="2D2867E7">
        <w:t xml:space="preserve">on offer and </w:t>
      </w:r>
      <w:r w:rsidR="00E819B3" w:rsidRPr="2D2867E7">
        <w:t xml:space="preserve">is </w:t>
      </w:r>
      <w:r w:rsidRPr="2D2867E7">
        <w:t>managed via the face-to-face, phone service and website channels.</w:t>
      </w:r>
      <w:r w:rsidR="001955DA" w:rsidRPr="2D2867E7">
        <w:t xml:space="preserve"> </w:t>
      </w:r>
      <w:r w:rsidR="02B1A5BC" w:rsidRPr="2D2867E7">
        <w:t>The Government is also working with state and territory governments to expand the Head to Health adult mental health network, with the establishment of 61 sites by 30 June 2026.</w:t>
      </w:r>
      <w:r w:rsidR="001955DA" w:rsidRPr="2D2867E7">
        <w:t> </w:t>
      </w:r>
      <w:r w:rsidR="00A00958" w:rsidRPr="2D2867E7">
        <w:t>Through th</w:t>
      </w:r>
      <w:r w:rsidR="0321CEA4" w:rsidRPr="2D2867E7">
        <w:t>e</w:t>
      </w:r>
      <w:r w:rsidR="00A00958" w:rsidRPr="2D2867E7">
        <w:t>s</w:t>
      </w:r>
      <w:r w:rsidR="2D5FEB39" w:rsidRPr="2D2867E7">
        <w:t>e</w:t>
      </w:r>
      <w:r w:rsidR="00A213CD" w:rsidRPr="2D2867E7">
        <w:t xml:space="preserve"> investment</w:t>
      </w:r>
      <w:r w:rsidR="7B4DF838" w:rsidRPr="2D2867E7">
        <w:t>s</w:t>
      </w:r>
      <w:r w:rsidR="00A213CD" w:rsidRPr="2D2867E7">
        <w:t>, people with PASC will continue to</w:t>
      </w:r>
      <w:r w:rsidR="00FD4033" w:rsidRPr="2D2867E7">
        <w:t xml:space="preserve"> </w:t>
      </w:r>
      <w:r w:rsidR="00A213CD" w:rsidRPr="2D2867E7">
        <w:t>benefit from this program.</w:t>
      </w:r>
    </w:p>
    <w:p w14:paraId="0B61AA0E" w14:textId="58668DE6" w:rsidR="00144774" w:rsidRDefault="03A0AA4A" w:rsidP="006C6B86">
      <w:r w:rsidRPr="3AB82A60">
        <w:t>T</w:t>
      </w:r>
      <w:r w:rsidR="004C67D6" w:rsidRPr="3AB82A60">
        <w:t>he</w:t>
      </w:r>
      <w:r w:rsidR="004C67D6" w:rsidRPr="780EDDA8">
        <w:t xml:space="preserve"> Government</w:t>
      </w:r>
      <w:r w:rsidR="007E6BCC">
        <w:t xml:space="preserve">’s ongoing commitment </w:t>
      </w:r>
      <w:r w:rsidR="003363A2">
        <w:t>to</w:t>
      </w:r>
      <w:r w:rsidR="007E6BCC">
        <w:t xml:space="preserve"> </w:t>
      </w:r>
      <w:r w:rsidR="004C67D6" w:rsidRPr="780EDDA8">
        <w:t>mental health reform</w:t>
      </w:r>
      <w:r w:rsidR="00144774" w:rsidRPr="780EDDA8">
        <w:t xml:space="preserve"> will include consider</w:t>
      </w:r>
      <w:r w:rsidR="00556FD9">
        <w:t>ing</w:t>
      </w:r>
      <w:r w:rsidR="00144774" w:rsidRPr="780EDDA8">
        <w:t xml:space="preserve"> a new model for digital </w:t>
      </w:r>
      <w:r w:rsidR="7AE5A3EF" w:rsidRPr="3AB82A60">
        <w:t xml:space="preserve">mental health </w:t>
      </w:r>
      <w:r w:rsidR="00144774" w:rsidRPr="780EDDA8">
        <w:t>services</w:t>
      </w:r>
      <w:r w:rsidR="007E6BCC">
        <w:t xml:space="preserve">. This will </w:t>
      </w:r>
      <w:r w:rsidR="3DFEC0F4" w:rsidRPr="780EDDA8">
        <w:t>ensure digital services</w:t>
      </w:r>
      <w:r w:rsidR="00144774" w:rsidRPr="780EDDA8">
        <w:t>, including clinician-supported online services, are appropriately embedded within the mental health service system.</w:t>
      </w:r>
    </w:p>
    <w:p w14:paraId="55573AB0" w14:textId="16904393" w:rsidR="0004064B" w:rsidRDefault="0004064B" w:rsidP="0004064B">
      <w:pPr>
        <w:pStyle w:val="Heading2"/>
      </w:pPr>
      <w:bookmarkStart w:id="28" w:name="_Toc157771518"/>
      <w:r>
        <w:rPr>
          <w:rFonts w:eastAsia="Arial"/>
          <w:noProof/>
          <w:szCs w:val="36"/>
          <w:lang w:eastAsia="en-AU"/>
        </w:rPr>
        <w:drawing>
          <wp:inline distT="0" distB="0" distL="0" distR="0" wp14:anchorId="64AFE5BC" wp14:editId="4B0D4539">
            <wp:extent cx="523875" cy="523875"/>
            <wp:effectExtent l="0" t="0" r="9525" b="0"/>
            <wp:docPr id="1312789184" name="Graphic 1312789184" descr="Hospita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ospital outline"/>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523875" cy="523875"/>
                    </a:xfrm>
                    <a:prstGeom prst="rect">
                      <a:avLst/>
                    </a:prstGeom>
                  </pic:spPr>
                </pic:pic>
              </a:graphicData>
            </a:graphic>
          </wp:inline>
        </w:drawing>
      </w:r>
      <w:r w:rsidRPr="0004064B">
        <w:t>Other healthcare support</w:t>
      </w:r>
      <w:bookmarkEnd w:id="28"/>
    </w:p>
    <w:p w14:paraId="6692D139" w14:textId="08838A62" w:rsidR="006658B8" w:rsidRDefault="0036611B" w:rsidP="006C6B86">
      <w:r w:rsidRPr="0036611B">
        <w:t xml:space="preserve">The Government funds states and territories </w:t>
      </w:r>
      <w:r w:rsidR="006658B8">
        <w:t>to provide</w:t>
      </w:r>
      <w:r w:rsidRPr="0036611B">
        <w:t xml:space="preserve"> public hospital services through the National Health Reform Agreement (NHRA). The NHRA aims to improve health outcomes for Australians by providing better coordinated, high-quality care in the community. States and territories decide the mix of the services and functions delivered in their </w:t>
      </w:r>
      <w:r w:rsidRPr="00261EE5">
        <w:t>jurisdiction</w:t>
      </w:r>
      <w:r w:rsidRPr="0036611B">
        <w:t>, and some have used funding to establish clinics for</w:t>
      </w:r>
      <w:r w:rsidR="00DF3D7E">
        <w:t xml:space="preserve"> the</w:t>
      </w:r>
      <w:r w:rsidRPr="0036611B">
        <w:t xml:space="preserve"> management of people with PASC. </w:t>
      </w:r>
    </w:p>
    <w:p w14:paraId="4959B219" w14:textId="5F757EE9" w:rsidR="0036611B" w:rsidRDefault="0036611B" w:rsidP="006C6B86">
      <w:r w:rsidRPr="0036611B">
        <w:t xml:space="preserve">To improve </w:t>
      </w:r>
      <w:r w:rsidR="003D73BB">
        <w:t xml:space="preserve">the </w:t>
      </w:r>
      <w:r w:rsidRPr="0036611B">
        <w:t>monitoring and transparency of</w:t>
      </w:r>
      <w:r w:rsidR="003E7F9D">
        <w:t xml:space="preserve"> the</w:t>
      </w:r>
      <w:r w:rsidRPr="0036611B">
        <w:t xml:space="preserve"> usage and costs of PASC services, the Independent </w:t>
      </w:r>
      <w:proofErr w:type="gramStart"/>
      <w:r w:rsidRPr="0036611B">
        <w:t>Health</w:t>
      </w:r>
      <w:proofErr w:type="gramEnd"/>
      <w:r w:rsidRPr="0036611B">
        <w:t xml:space="preserve"> and Aged Care </w:t>
      </w:r>
      <w:r w:rsidRPr="009002B8">
        <w:t>Pricing Authority (IHACPA) introduce</w:t>
      </w:r>
      <w:r w:rsidR="00325C45" w:rsidRPr="009002B8">
        <w:t>d</w:t>
      </w:r>
      <w:r w:rsidRPr="009002B8">
        <w:t xml:space="preserve"> two new classifications for </w:t>
      </w:r>
      <w:r w:rsidRPr="00261EE5">
        <w:t>the</w:t>
      </w:r>
      <w:r w:rsidRPr="009002B8">
        <w:t xml:space="preserve"> treatment of PASC in a non-admitted/outpatient setting from 1</w:t>
      </w:r>
      <w:r w:rsidR="006E3847">
        <w:t> </w:t>
      </w:r>
      <w:r w:rsidRPr="009002B8">
        <w:t xml:space="preserve">July 2023. Whilst </w:t>
      </w:r>
      <w:r w:rsidRPr="00C87459">
        <w:t>these</w:t>
      </w:r>
      <w:r w:rsidRPr="009002B8">
        <w:t xml:space="preserve"> services are already funded through the public health system, </w:t>
      </w:r>
      <w:r w:rsidR="00325C45" w:rsidRPr="009002B8">
        <w:t xml:space="preserve">the introduction of these new classifications </w:t>
      </w:r>
      <w:r w:rsidRPr="009002B8">
        <w:t xml:space="preserve">will ensure </w:t>
      </w:r>
      <w:r w:rsidR="00325C45" w:rsidRPr="009002B8">
        <w:t>the delivery, costs and prices for</w:t>
      </w:r>
      <w:r w:rsidRPr="009002B8">
        <w:t xml:space="preserve"> </w:t>
      </w:r>
      <w:r w:rsidR="00412755" w:rsidRPr="009002B8">
        <w:t>PASC</w:t>
      </w:r>
      <w:r w:rsidR="00F972ED" w:rsidRPr="009002B8">
        <w:t>-</w:t>
      </w:r>
      <w:r w:rsidR="00412755" w:rsidRPr="009002B8">
        <w:t xml:space="preserve">related </w:t>
      </w:r>
      <w:r w:rsidRPr="009002B8">
        <w:t>services delivered to patients</w:t>
      </w:r>
      <w:r w:rsidR="00325C45" w:rsidRPr="009002B8">
        <w:t xml:space="preserve"> are able to be accurately tracked by the IHACPA and updated as necessary</w:t>
      </w:r>
      <w:r w:rsidRPr="009002B8">
        <w:t xml:space="preserve">. </w:t>
      </w:r>
    </w:p>
    <w:p w14:paraId="371D8799" w14:textId="52DD804F" w:rsidR="0004064B" w:rsidRPr="0036611B" w:rsidRDefault="0004064B" w:rsidP="0004064B">
      <w:pPr>
        <w:pStyle w:val="Heading2"/>
      </w:pPr>
      <w:bookmarkStart w:id="29" w:name="_Toc157771519"/>
      <w:r>
        <w:rPr>
          <w:rFonts w:eastAsia="Arial"/>
          <w:noProof/>
          <w:szCs w:val="36"/>
          <w:lang w:eastAsia="en-AU"/>
        </w:rPr>
        <w:drawing>
          <wp:inline distT="0" distB="0" distL="0" distR="0" wp14:anchorId="7746D465" wp14:editId="734F308F">
            <wp:extent cx="552450" cy="552450"/>
            <wp:effectExtent l="0" t="0" r="0" b="0"/>
            <wp:docPr id="1312789185" name="Graphic 1312789185" descr="Microscop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icroscope outline"/>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552450" cy="552450"/>
                    </a:xfrm>
                    <a:prstGeom prst="rect">
                      <a:avLst/>
                    </a:prstGeom>
                  </pic:spPr>
                </pic:pic>
              </a:graphicData>
            </a:graphic>
          </wp:inline>
        </w:drawing>
      </w:r>
      <w:r w:rsidRPr="0004064B">
        <w:t>Research</w:t>
      </w:r>
      <w:bookmarkEnd w:id="29"/>
    </w:p>
    <w:p w14:paraId="4696086D" w14:textId="517518B4" w:rsidR="00277DAC" w:rsidRDefault="00277DAC" w:rsidP="006C6B86">
      <w:bookmarkStart w:id="30" w:name="_Hlk139465453"/>
      <w:r>
        <w:t>In response to the final recommendations arising from the long COVID Inquiry, the Government committed</w:t>
      </w:r>
      <w:r w:rsidR="004050FC">
        <w:t xml:space="preserve"> </w:t>
      </w:r>
      <w:r w:rsidRPr="5BC23C35">
        <w:t xml:space="preserve">$50 million of funding over four years from the MRFF for research into PASC. The objectives of this research are to generate evidence on the current and future impacts of PASC in the </w:t>
      </w:r>
      <w:r w:rsidRPr="003D0592">
        <w:t>Australian</w:t>
      </w:r>
      <w:r w:rsidRPr="5BC23C35">
        <w:t xml:space="preserve"> context; design and evaluate clinical pathways and models of care for Australians with PASC while addressing </w:t>
      </w:r>
      <w:r w:rsidRPr="5BC23C35">
        <w:lastRenderedPageBreak/>
        <w:t xml:space="preserve">inequities in access and outcomes; and generate new diagnostic and therapeutic approaches to prevent the occurrence of PASC and/or improve health outcomes for individuals with PASC. Much of this work will be co-led by general practitioners and primary care providers </w:t>
      </w:r>
      <w:r w:rsidRPr="00855D43">
        <w:t>and conducted in collaboration with health services and policy makers, to facilitate research translation</w:t>
      </w:r>
      <w:r w:rsidRPr="5BC23C35">
        <w:t xml:space="preserve">. </w:t>
      </w:r>
      <w:r w:rsidRPr="00557BCB">
        <w:t xml:space="preserve">The funding will be provided through the MRFF </w:t>
      </w:r>
      <w:r>
        <w:t>PASC</w:t>
      </w:r>
      <w:r w:rsidRPr="00557BCB">
        <w:t xml:space="preserve"> Research Plan</w:t>
      </w:r>
      <w:r>
        <w:t>,</w:t>
      </w:r>
      <w:r w:rsidRPr="00557BCB">
        <w:t xml:space="preserve"> which has been developed by an Expert Advisory Panel</w:t>
      </w:r>
      <w:r>
        <w:t>,</w:t>
      </w:r>
      <w:r w:rsidRPr="00557BCB">
        <w:t xml:space="preserve"> to ensure investment focus</w:t>
      </w:r>
      <w:r>
        <w:t>ses</w:t>
      </w:r>
      <w:r w:rsidRPr="00557BCB">
        <w:t xml:space="preserve"> on the </w:t>
      </w:r>
      <w:proofErr w:type="spellStart"/>
      <w:r w:rsidRPr="00557BCB">
        <w:t>areas</w:t>
      </w:r>
      <w:proofErr w:type="spellEnd"/>
      <w:r w:rsidRPr="00557BCB">
        <w:t xml:space="preserve"> most likely to improve patient outcomes and health care experiences</w:t>
      </w:r>
      <w:r>
        <w:t xml:space="preserve">. </w:t>
      </w:r>
      <w:r w:rsidRPr="0087177A">
        <w:t>The first of two grant opportunities disbursing this $50</w:t>
      </w:r>
      <w:r w:rsidR="009F5F76">
        <w:t> </w:t>
      </w:r>
      <w:r w:rsidRPr="0087177A">
        <w:t>million in funding opened on 6 September 2023.</w:t>
      </w:r>
    </w:p>
    <w:p w14:paraId="471D0397" w14:textId="720BDD73" w:rsidR="007A2EA9" w:rsidRPr="003D0592" w:rsidRDefault="01E6FDA7" w:rsidP="006C6B86">
      <w:r w:rsidRPr="003D0592">
        <w:t>The Government</w:t>
      </w:r>
      <w:r w:rsidR="00277DAC">
        <w:t xml:space="preserve"> has also</w:t>
      </w:r>
      <w:r w:rsidRPr="003D0592">
        <w:t xml:space="preserve"> support</w:t>
      </w:r>
      <w:r w:rsidR="00277DAC">
        <w:t>ed</w:t>
      </w:r>
      <w:r w:rsidR="000E5D19">
        <w:t xml:space="preserve"> </w:t>
      </w:r>
      <w:r w:rsidR="008871D8">
        <w:t>additional</w:t>
      </w:r>
      <w:r w:rsidR="000E5D19">
        <w:t xml:space="preserve"> research into PASC</w:t>
      </w:r>
      <w:r w:rsidRPr="003D0592">
        <w:t xml:space="preserve"> through the </w:t>
      </w:r>
      <w:r w:rsidR="00907249">
        <w:t xml:space="preserve">MRFF </w:t>
      </w:r>
      <w:r w:rsidRPr="003D0592">
        <w:t xml:space="preserve">and </w:t>
      </w:r>
      <w:r w:rsidR="008871D8">
        <w:t xml:space="preserve">the </w:t>
      </w:r>
      <w:r w:rsidRPr="003D0592">
        <w:t>National Health and Medical Research Council</w:t>
      </w:r>
      <w:r w:rsidR="00477FBF">
        <w:t xml:space="preserve"> (NHMRC)</w:t>
      </w:r>
      <w:r w:rsidRPr="003D0592">
        <w:t xml:space="preserve">. </w:t>
      </w:r>
      <w:r w:rsidR="00425FB8">
        <w:t>B</w:t>
      </w:r>
      <w:r w:rsidR="00425FB8" w:rsidRPr="003D0592">
        <w:t>etween 2020 and 2021</w:t>
      </w:r>
      <w:r w:rsidR="00425FB8">
        <w:t>, o</w:t>
      </w:r>
      <w:r w:rsidRPr="003D0592">
        <w:t>ver $13</w:t>
      </w:r>
      <w:r w:rsidR="727770B7" w:rsidRPr="003D0592">
        <w:t> </w:t>
      </w:r>
      <w:r w:rsidRPr="003D0592">
        <w:t>million was committed from the MRFF for research into the long-term effects of COVID-19</w:t>
      </w:r>
      <w:r w:rsidR="40D68B55" w:rsidRPr="003D0592">
        <w:t xml:space="preserve">. In 2020, two clinical trials </w:t>
      </w:r>
      <w:r w:rsidR="2E7FED77" w:rsidRPr="003D0592">
        <w:t>were awarded grants</w:t>
      </w:r>
      <w:r w:rsidR="40D68B55" w:rsidRPr="003D0592">
        <w:t xml:space="preserve">: </w:t>
      </w:r>
      <w:r w:rsidR="2FCB9B6E" w:rsidRPr="003D0592">
        <w:t>$2.4</w:t>
      </w:r>
      <w:r w:rsidR="002B40CC">
        <w:t> </w:t>
      </w:r>
      <w:r w:rsidR="2FCB9B6E" w:rsidRPr="003D0592">
        <w:t xml:space="preserve">million to </w:t>
      </w:r>
      <w:r w:rsidR="2E084FCE" w:rsidRPr="003D0592">
        <w:t xml:space="preserve">the </w:t>
      </w:r>
      <w:r w:rsidR="2FCB9B6E" w:rsidRPr="003D0592">
        <w:t xml:space="preserve">University of New South Wales to investigate statin treatment to prevent brain complications </w:t>
      </w:r>
      <w:proofErr w:type="gramStart"/>
      <w:r w:rsidR="2FCB9B6E" w:rsidRPr="003D0592">
        <w:t>as a result of</w:t>
      </w:r>
      <w:proofErr w:type="gramEnd"/>
      <w:r w:rsidR="2FCB9B6E" w:rsidRPr="003D0592">
        <w:t xml:space="preserve"> COVID-19</w:t>
      </w:r>
      <w:r w:rsidR="2E084FCE" w:rsidRPr="003D0592">
        <w:t xml:space="preserve"> </w:t>
      </w:r>
      <w:r w:rsidR="55B8CBEE" w:rsidRPr="074D8936">
        <w:t>and maintain memory and thinking after infection</w:t>
      </w:r>
      <w:r w:rsidR="55B8CBEE" w:rsidRPr="003D0592">
        <w:t xml:space="preserve"> </w:t>
      </w:r>
      <w:r w:rsidR="2E084FCE" w:rsidRPr="003D0592">
        <w:t>and</w:t>
      </w:r>
      <w:r w:rsidR="14CF7068" w:rsidRPr="003D0592">
        <w:t xml:space="preserve"> $2.6 million to </w:t>
      </w:r>
      <w:r w:rsidR="00B67CCF">
        <w:t xml:space="preserve">the </w:t>
      </w:r>
      <w:r w:rsidR="14CF7068" w:rsidRPr="003D0592">
        <w:t xml:space="preserve">University of Melbourne to investigate the use of cardioprotective therapy to manage </w:t>
      </w:r>
      <w:r w:rsidR="64166587" w:rsidRPr="003D0592">
        <w:t xml:space="preserve">the </w:t>
      </w:r>
      <w:r w:rsidR="14CF7068" w:rsidRPr="003D0592">
        <w:t>persistent cardiovascular effects of COVID-19</w:t>
      </w:r>
      <w:r w:rsidR="7FB322DC" w:rsidRPr="003D0592">
        <w:t xml:space="preserve"> </w:t>
      </w:r>
      <w:r w:rsidR="7FB322DC" w:rsidRPr="074D8936">
        <w:t>and prevent progression to heart failure after recovery. These trials are estimated to be completed at the end of 2024</w:t>
      </w:r>
      <w:r w:rsidR="40D68B55" w:rsidRPr="003D0592">
        <w:t xml:space="preserve">. </w:t>
      </w:r>
    </w:p>
    <w:p w14:paraId="49580442" w14:textId="77777777" w:rsidR="00681F79" w:rsidRDefault="40D68B55" w:rsidP="006C6B86">
      <w:r w:rsidRPr="003D0592">
        <w:t>In 2021</w:t>
      </w:r>
      <w:r w:rsidR="001B2714">
        <w:t>,</w:t>
      </w:r>
      <w:r w:rsidR="2E084FCE" w:rsidRPr="003D0592">
        <w:t xml:space="preserve"> three additional research projects were awarded grants</w:t>
      </w:r>
      <w:r w:rsidR="69003617" w:rsidRPr="003D0592">
        <w:t>.</w:t>
      </w:r>
      <w:r w:rsidRPr="003D0592">
        <w:t xml:space="preserve"> Murdoch University </w:t>
      </w:r>
      <w:r w:rsidR="2E084FCE" w:rsidRPr="003D0592">
        <w:t xml:space="preserve">was awarded $3.4 million to </w:t>
      </w:r>
      <w:r w:rsidRPr="003D0592">
        <w:t xml:space="preserve">further </w:t>
      </w:r>
      <w:r w:rsidR="2E084FCE" w:rsidRPr="003D0592">
        <w:t xml:space="preserve">its </w:t>
      </w:r>
      <w:r w:rsidRPr="003D0592">
        <w:t xml:space="preserve">research </w:t>
      </w:r>
      <w:r w:rsidR="5FE235C4" w:rsidRPr="003D0592">
        <w:t>to</w:t>
      </w:r>
      <w:r w:rsidRPr="003D0592">
        <w:t xml:space="preserve"> improv</w:t>
      </w:r>
      <w:r w:rsidR="5FE235C4" w:rsidRPr="003D0592">
        <w:t>e</w:t>
      </w:r>
      <w:r w:rsidRPr="003D0592">
        <w:t xml:space="preserve"> the understanding of </w:t>
      </w:r>
    </w:p>
    <w:p w14:paraId="2E21256A" w14:textId="493D2241" w:rsidR="00E50A45" w:rsidRPr="003D0592" w:rsidRDefault="40D68B55" w:rsidP="006C6B86">
      <w:r w:rsidRPr="003D0592">
        <w:t>long-term impacts of COVID-19 and</w:t>
      </w:r>
      <w:r w:rsidR="40378279" w:rsidRPr="003D0592">
        <w:t xml:space="preserve"> to</w:t>
      </w:r>
      <w:r w:rsidRPr="003D0592">
        <w:t xml:space="preserve"> develop new models to predict disease progression and tailor treatment. Th</w:t>
      </w:r>
      <w:r w:rsidR="40378279" w:rsidRPr="003D0592">
        <w:t>is</w:t>
      </w:r>
      <w:r w:rsidRPr="003D0592">
        <w:t xml:space="preserve"> group has published </w:t>
      </w:r>
      <w:r w:rsidR="40378279" w:rsidRPr="003D0592">
        <w:t>several</w:t>
      </w:r>
      <w:r w:rsidRPr="003D0592">
        <w:t xml:space="preserve"> articles on their research to increase</w:t>
      </w:r>
      <w:r w:rsidR="4EF97A66" w:rsidRPr="003D0592">
        <w:t xml:space="preserve"> the</w:t>
      </w:r>
      <w:r w:rsidR="266CC8C7" w:rsidRPr="003D0592">
        <w:t xml:space="preserve"> </w:t>
      </w:r>
      <w:r w:rsidRPr="003D0592">
        <w:t xml:space="preserve">understanding of long COVID. </w:t>
      </w:r>
      <w:r w:rsidR="2E084FCE" w:rsidRPr="003D0592">
        <w:t xml:space="preserve">The </w:t>
      </w:r>
      <w:r w:rsidRPr="003D0592">
        <w:t>University of Melbourne</w:t>
      </w:r>
      <w:r w:rsidR="2E084FCE" w:rsidRPr="003D0592">
        <w:t xml:space="preserve"> was</w:t>
      </w:r>
      <w:r w:rsidR="2B8333E5" w:rsidRPr="003D0592">
        <w:t xml:space="preserve"> also</w:t>
      </w:r>
      <w:r w:rsidR="2E084FCE" w:rsidRPr="003D0592">
        <w:t xml:space="preserve"> awarded a $1.8 million grant to</w:t>
      </w:r>
      <w:r w:rsidRPr="003D0592">
        <w:t xml:space="preserve"> investigate the effect that SARS-CoV-2 variants of concern may have on the brain</w:t>
      </w:r>
      <w:r w:rsidR="688A44EE" w:rsidRPr="003D0592">
        <w:t xml:space="preserve"> </w:t>
      </w:r>
      <w:r w:rsidR="688A44EE" w:rsidRPr="074D8936">
        <w:t xml:space="preserve">and </w:t>
      </w:r>
      <w:r w:rsidR="00556FD9">
        <w:t xml:space="preserve">to </w:t>
      </w:r>
      <w:r w:rsidR="688A44EE" w:rsidRPr="074D8936">
        <w:t>develop a diagnostic test to identify patients at risk of brain injury</w:t>
      </w:r>
      <w:r w:rsidR="2E084FCE" w:rsidRPr="003D0592">
        <w:t xml:space="preserve">. </w:t>
      </w:r>
    </w:p>
    <w:p w14:paraId="055ABB83" w14:textId="77777777" w:rsidR="00E53ACE" w:rsidRDefault="79540DB5" w:rsidP="006C6B86">
      <w:r w:rsidRPr="003D0592">
        <w:t>In 2021, through the NHMRC, $1.6 million was provided for research into PASC. Two projects were funded: $717,305 to the University of Queensland for research on COVID-19-induced vascular complications: mechanisms and potential therapies</w:t>
      </w:r>
      <w:r w:rsidR="296EC445" w:rsidRPr="003D0592">
        <w:t>;</w:t>
      </w:r>
      <w:r w:rsidRPr="003D0592">
        <w:t xml:space="preserve"> and $904,308 to the University of Queensland for research on targeting </w:t>
      </w:r>
      <w:proofErr w:type="spellStart"/>
      <w:r w:rsidRPr="003D0592">
        <w:t>neuropilin</w:t>
      </w:r>
      <w:proofErr w:type="spellEnd"/>
      <w:r w:rsidRPr="003D0592">
        <w:t xml:space="preserve"> in </w:t>
      </w:r>
    </w:p>
    <w:p w14:paraId="2CA8781B" w14:textId="422E4D5D" w:rsidR="00853003" w:rsidRPr="003D0592" w:rsidRDefault="79540DB5" w:rsidP="006C6B86">
      <w:r w:rsidRPr="003D0592">
        <w:t>SARS-CoV-2 neuronal uptake and transport.</w:t>
      </w:r>
    </w:p>
    <w:p w14:paraId="20E8EE7F" w14:textId="4C3B7399" w:rsidR="0036611B" w:rsidRPr="003D0592" w:rsidRDefault="79540DB5" w:rsidP="006C6B86">
      <w:r w:rsidRPr="003D0592">
        <w:t xml:space="preserve">In October 2022, the Government reaffirmed its commitment to provide </w:t>
      </w:r>
      <w:r w:rsidR="01E6FDA7" w:rsidRPr="003D0592">
        <w:t xml:space="preserve">$5 million </w:t>
      </w:r>
      <w:r w:rsidRPr="003D0592">
        <w:t xml:space="preserve">in grant funding </w:t>
      </w:r>
      <w:r w:rsidR="01E6FDA7" w:rsidRPr="003D0592">
        <w:t xml:space="preserve">to the </w:t>
      </w:r>
      <w:r w:rsidR="01E6FDA7" w:rsidRPr="074D8936">
        <w:t>Australian Partnership for Preparedness Research on Infectious Disease Emergencies Network</w:t>
      </w:r>
      <w:r w:rsidRPr="074D8936">
        <w:t xml:space="preserve"> (AP</w:t>
      </w:r>
      <w:r w:rsidR="009D16D6">
        <w:t>P</w:t>
      </w:r>
      <w:r w:rsidRPr="074D8936">
        <w:t xml:space="preserve">RISE) for the Strengthening Australia’s response to Infectious </w:t>
      </w:r>
      <w:r w:rsidRPr="003D0592">
        <w:t>Diseases</w:t>
      </w:r>
      <w:r w:rsidRPr="074D8936">
        <w:t xml:space="preserve"> program</w:t>
      </w:r>
      <w:r w:rsidR="01E6FDA7" w:rsidRPr="074D8936">
        <w:t xml:space="preserve">. </w:t>
      </w:r>
      <w:r w:rsidRPr="074D8936">
        <w:t xml:space="preserve">This will fund two nationally significant research collaborations exploring: the long-term effects of SARS-CoV-2 and </w:t>
      </w:r>
      <w:r w:rsidR="7CBC44E4" w:rsidRPr="074D8936">
        <w:t xml:space="preserve">its </w:t>
      </w:r>
      <w:r w:rsidRPr="074D8936">
        <w:t xml:space="preserve">impact on health service </w:t>
      </w:r>
      <w:r w:rsidRPr="003D0592">
        <w:t>utilisation</w:t>
      </w:r>
      <w:r w:rsidRPr="074D8936">
        <w:t>, and the use and effectiveness of oral antivirals in the treatment of SARS-CoV-2.</w:t>
      </w:r>
      <w:r w:rsidR="6C39AF38" w:rsidRPr="074D8936">
        <w:t xml:space="preserve"> This project is intended to be completed by </w:t>
      </w:r>
      <w:r w:rsidR="00D95EA8" w:rsidRPr="074D8936">
        <w:t>2025 and</w:t>
      </w:r>
      <w:r w:rsidR="6C39AF38" w:rsidRPr="074D8936">
        <w:t xml:space="preserve"> improve national collabora</w:t>
      </w:r>
      <w:r w:rsidR="00556FD9">
        <w:t>tion on</w:t>
      </w:r>
      <w:r w:rsidR="6C39AF38" w:rsidRPr="074D8936">
        <w:t xml:space="preserve"> infectious disease emergency response research.</w:t>
      </w:r>
    </w:p>
    <w:bookmarkEnd w:id="30"/>
    <w:p w14:paraId="3B9B1A2E" w14:textId="4A50D715" w:rsidR="00491BA4" w:rsidRPr="00B27F56" w:rsidRDefault="00736C76" w:rsidP="006C6B86">
      <w:r>
        <w:t xml:space="preserve">The </w:t>
      </w:r>
      <w:r w:rsidRPr="002C527C">
        <w:t xml:space="preserve">Government </w:t>
      </w:r>
      <w:r>
        <w:t>is committed to supporting</w:t>
      </w:r>
      <w:r w:rsidRPr="002C527C">
        <w:t xml:space="preserve"> </w:t>
      </w:r>
      <w:r>
        <w:t xml:space="preserve">the above </w:t>
      </w:r>
      <w:r w:rsidRPr="002C527C">
        <w:t>research initiatives to build Australia’s understanding of PASC and guide longer term policy.</w:t>
      </w:r>
      <w:r>
        <w:t xml:space="preserve"> </w:t>
      </w:r>
      <w:r w:rsidR="00BD48B6">
        <w:t xml:space="preserve">As new research and evidence emerges, </w:t>
      </w:r>
      <w:r w:rsidR="004A79BD">
        <w:t>Australia’s response to PASC</w:t>
      </w:r>
      <w:r w:rsidR="008B122C">
        <w:t xml:space="preserve"> </w:t>
      </w:r>
      <w:r w:rsidR="00E30FBE" w:rsidRPr="00E30FBE">
        <w:t>and model</w:t>
      </w:r>
      <w:r w:rsidR="004A79BD">
        <w:t>s</w:t>
      </w:r>
      <w:r w:rsidR="00E30FBE" w:rsidRPr="00E30FBE">
        <w:t xml:space="preserve"> of care for </w:t>
      </w:r>
      <w:r w:rsidR="00F955F5">
        <w:t>the management of</w:t>
      </w:r>
      <w:r w:rsidR="00E30FBE" w:rsidRPr="00E30FBE">
        <w:t xml:space="preserve"> </w:t>
      </w:r>
      <w:r w:rsidR="00914389">
        <w:t>PASC</w:t>
      </w:r>
      <w:r w:rsidR="00E30FBE" w:rsidRPr="00E30FBE">
        <w:t xml:space="preserve"> </w:t>
      </w:r>
      <w:r w:rsidR="008871D8">
        <w:t>will also continue to evolve</w:t>
      </w:r>
      <w:r w:rsidR="00F955F5">
        <w:t>.</w:t>
      </w:r>
      <w:r w:rsidR="000141C7" w:rsidRPr="000141C7">
        <w:t xml:space="preserve"> </w:t>
      </w:r>
    </w:p>
    <w:p w14:paraId="3477EA73" w14:textId="53B39B74" w:rsidR="0004064B" w:rsidRDefault="0004064B" w:rsidP="0004064B">
      <w:pPr>
        <w:pStyle w:val="Heading2"/>
      </w:pPr>
      <w:bookmarkStart w:id="31" w:name="_Toc157771520"/>
      <w:r>
        <w:rPr>
          <w:rFonts w:eastAsia="Arial"/>
          <w:noProof/>
          <w:szCs w:val="36"/>
          <w:lang w:eastAsia="en-AU"/>
        </w:rPr>
        <w:lastRenderedPageBreak/>
        <w:drawing>
          <wp:inline distT="0" distB="0" distL="0" distR="0" wp14:anchorId="75EE2BC4" wp14:editId="4D11F6EA">
            <wp:extent cx="561975" cy="561975"/>
            <wp:effectExtent l="0" t="0" r="9525" b="9525"/>
            <wp:docPr id="1312789186" name="Graphic 1312789186" descr="Cloud Comput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loud Computing outline"/>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61975" cy="561975"/>
                    </a:xfrm>
                    <a:prstGeom prst="rect">
                      <a:avLst/>
                    </a:prstGeom>
                  </pic:spPr>
                </pic:pic>
              </a:graphicData>
            </a:graphic>
          </wp:inline>
        </w:drawing>
      </w:r>
      <w:r w:rsidRPr="0004064B">
        <w:t>Data linkage</w:t>
      </w:r>
      <w:bookmarkEnd w:id="31"/>
    </w:p>
    <w:p w14:paraId="257D8607" w14:textId="2071452F" w:rsidR="0036611B" w:rsidRPr="0036611B" w:rsidRDefault="01E6FDA7" w:rsidP="006C6B86">
      <w:r w:rsidRPr="074D8936">
        <w:t xml:space="preserve">There are </w:t>
      </w:r>
      <w:proofErr w:type="gramStart"/>
      <w:r w:rsidRPr="074D8936">
        <w:t>a number of</w:t>
      </w:r>
      <w:proofErr w:type="gramEnd"/>
      <w:r w:rsidRPr="074D8936">
        <w:t xml:space="preserve"> data linkage and data analysis projects underway </w:t>
      </w:r>
      <w:r w:rsidR="000460B7">
        <w:t>that will help to</w:t>
      </w:r>
      <w:r w:rsidR="000460B7" w:rsidRPr="074D8936">
        <w:t xml:space="preserve"> </w:t>
      </w:r>
      <w:r w:rsidRPr="074D8936">
        <w:t xml:space="preserve">better understand the prevalence and impact of PASC in Australia. In 2021, the </w:t>
      </w:r>
      <w:r w:rsidR="3197A868" w:rsidRPr="074D8936">
        <w:t>AIHW</w:t>
      </w:r>
      <w:r w:rsidRPr="074D8936">
        <w:t xml:space="preserve"> was funded $3 million by the MRFF to </w:t>
      </w:r>
      <w:r w:rsidR="39385A6C" w:rsidRPr="074D8936">
        <w:t xml:space="preserve">establish a national linked data platform that integrates </w:t>
      </w:r>
      <w:r w:rsidRPr="003D0592">
        <w:t>COVID</w:t>
      </w:r>
      <w:r w:rsidRPr="074D8936">
        <w:t xml:space="preserve">-19 </w:t>
      </w:r>
      <w:r w:rsidR="39385A6C" w:rsidRPr="074D8936">
        <w:t xml:space="preserve">case information with a range of relevant existing health </w:t>
      </w:r>
      <w:r w:rsidRPr="074D8936">
        <w:t xml:space="preserve">data sets. </w:t>
      </w:r>
      <w:r w:rsidR="632E3348" w:rsidRPr="074D8936">
        <w:t>These</w:t>
      </w:r>
      <w:r w:rsidRPr="074D8936">
        <w:t xml:space="preserve"> data can be used to provide new insights into the health outcomes for people who have had COVID-19, with the de-identified dataset </w:t>
      </w:r>
      <w:r w:rsidR="0BE4B218" w:rsidRPr="074D8936">
        <w:t xml:space="preserve">now available to approved researchers. These data can support a better understanding of the impacts of PASC stratified by clinical and demographic information including vaccination status, age, </w:t>
      </w:r>
      <w:proofErr w:type="gramStart"/>
      <w:r w:rsidR="0BE4B218" w:rsidRPr="074D8936">
        <w:t>gender</w:t>
      </w:r>
      <w:proofErr w:type="gramEnd"/>
      <w:r w:rsidR="0BE4B218" w:rsidRPr="074D8936">
        <w:t xml:space="preserve"> and priority populations, such as First Nations Australians and people with disability.</w:t>
      </w:r>
    </w:p>
    <w:p w14:paraId="48655555" w14:textId="4BC76F4F" w:rsidR="0036611B" w:rsidRPr="003D0592" w:rsidRDefault="0036611B" w:rsidP="006C6B86">
      <w:r w:rsidRPr="003D0592">
        <w:t>The Department also continues to work with states and territories to improve COVID-19 data integration, which will support more comprehensive case identification and further enable the study of long-term health effects associated with COVID-19.</w:t>
      </w:r>
      <w:r w:rsidR="00922CD9" w:rsidRPr="003D0592">
        <w:t xml:space="preserve"> Work is underway for the Australian Centre for Disease Control to build on existing data and surveillance capability by enhancing state and territory collaboration. This is intended to drive nationally consistent data collection and improve data sharing and linkages once fully operational as part of the phased transition to a standalone Centre for Disease Control.</w:t>
      </w:r>
    </w:p>
    <w:p w14:paraId="57BBA687" w14:textId="57882D8F" w:rsidR="0036611B" w:rsidRPr="00323B1D" w:rsidRDefault="008871D8" w:rsidP="00F46042">
      <w:pPr>
        <w:pStyle w:val="Heading1"/>
        <w:spacing w:before="0" w:after="120" w:line="276" w:lineRule="auto"/>
      </w:pPr>
      <w:bookmarkStart w:id="32" w:name="_Toc136588409"/>
      <w:bookmarkStart w:id="33" w:name="_Toc137202822"/>
      <w:bookmarkStart w:id="34" w:name="_Toc157771521"/>
      <w:r>
        <w:t xml:space="preserve">What strategies are </w:t>
      </w:r>
      <w:proofErr w:type="gramStart"/>
      <w:r>
        <w:t>planned</w:t>
      </w:r>
      <w:bookmarkEnd w:id="32"/>
      <w:bookmarkEnd w:id="33"/>
      <w:bookmarkEnd w:id="34"/>
      <w:proofErr w:type="gramEnd"/>
    </w:p>
    <w:p w14:paraId="04CA66FE" w14:textId="0C59E022" w:rsidR="000E34A0" w:rsidRDefault="0036611B" w:rsidP="006C6B86">
      <w:r w:rsidRPr="0036611B">
        <w:t xml:space="preserve">The following strategies </w:t>
      </w:r>
      <w:r w:rsidR="009F03D9">
        <w:t>build on existing actions taken by the Government and</w:t>
      </w:r>
      <w:r w:rsidR="009F03D9" w:rsidRPr="0036611B">
        <w:t xml:space="preserve"> </w:t>
      </w:r>
      <w:r w:rsidRPr="0036611B">
        <w:t xml:space="preserve">have been developed in response to recommendations from the </w:t>
      </w:r>
      <w:hyperlink r:id="rId49" w:anchor=":~:text=Following%20a%20referral%20on%201,closed%20on%2018%20November%202022.">
        <w:r w:rsidRPr="0036611B">
          <w:rPr>
            <w:rStyle w:val="Hyperlink"/>
            <w:rFonts w:cs="Arial"/>
          </w:rPr>
          <w:t>Standing Committee on Health, Aged Care and Sport’s Inquiry into Long COVID and Repeated COVID Infections</w:t>
        </w:r>
      </w:hyperlink>
      <w:r w:rsidRPr="0036611B">
        <w:t xml:space="preserve">. </w:t>
      </w:r>
    </w:p>
    <w:p w14:paraId="257B84DC" w14:textId="19F08DBA" w:rsidR="0036611B" w:rsidRPr="0036611B" w:rsidRDefault="0036611B" w:rsidP="006C6B86">
      <w:r w:rsidRPr="0036611B">
        <w:t>These strategies</w:t>
      </w:r>
      <w:r w:rsidR="00A46747">
        <w:t xml:space="preserve"> </w:t>
      </w:r>
      <w:r w:rsidRPr="0036611B">
        <w:t xml:space="preserve">aim to improve the health outcomes and lived experience for people with </w:t>
      </w:r>
      <w:r w:rsidR="00D95EA8" w:rsidRPr="0036611B">
        <w:t>PASC and</w:t>
      </w:r>
      <w:r w:rsidRPr="0036611B">
        <w:t xml:space="preserve"> optimise health system delivery to be patient-centred, easy to navigate and supportive of patients through their recovery.</w:t>
      </w:r>
    </w:p>
    <w:p w14:paraId="7286AC15" w14:textId="0B2BC503" w:rsidR="0036611B" w:rsidRDefault="0036611B" w:rsidP="00F46042">
      <w:pPr>
        <w:spacing w:line="276" w:lineRule="auto"/>
        <w:rPr>
          <w:rFonts w:cs="Arial"/>
        </w:rPr>
        <w:sectPr w:rsidR="0036611B" w:rsidSect="00FF13D0">
          <w:footerReference w:type="default" r:id="rId50"/>
          <w:pgSz w:w="11906" w:h="16838"/>
          <w:pgMar w:top="1304" w:right="1304" w:bottom="1304" w:left="1304" w:header="709" w:footer="709" w:gutter="0"/>
          <w:cols w:space="708"/>
          <w:docGrid w:linePitch="360"/>
        </w:sectPr>
      </w:pPr>
    </w:p>
    <w:tbl>
      <w:tblPr>
        <w:tblStyle w:val="GridTable1Light-Accent5"/>
        <w:tblW w:w="5000" w:type="pct"/>
        <w:tblLook w:val="06A0" w:firstRow="1" w:lastRow="0" w:firstColumn="1" w:lastColumn="0" w:noHBand="1" w:noVBand="1"/>
      </w:tblPr>
      <w:tblGrid>
        <w:gridCol w:w="2138"/>
        <w:gridCol w:w="903"/>
        <w:gridCol w:w="3043"/>
        <w:gridCol w:w="3043"/>
        <w:gridCol w:w="115"/>
        <w:gridCol w:w="2928"/>
        <w:gridCol w:w="3043"/>
        <w:gridCol w:w="60"/>
        <w:gridCol w:w="2983"/>
        <w:gridCol w:w="3051"/>
      </w:tblGrid>
      <w:tr w:rsidR="00D2065F" w:rsidRPr="00A7527A" w14:paraId="13C90E49" w14:textId="2B6E7E72" w:rsidTr="00BF6CFC">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5000" w:type="pct"/>
            <w:gridSpan w:val="10"/>
          </w:tcPr>
          <w:p w14:paraId="48F59C01" w14:textId="2DDAFE66" w:rsidR="00D2065F" w:rsidRPr="00A7527A" w:rsidRDefault="00D2065F" w:rsidP="00EF0712">
            <w:pPr>
              <w:pStyle w:val="Tableheader"/>
              <w:rPr>
                <w:rFonts w:eastAsia="Arial"/>
                <w:b/>
                <w:bCs/>
                <w:lang w:val="en-US"/>
              </w:rPr>
            </w:pPr>
            <w:r w:rsidRPr="00A7527A">
              <w:rPr>
                <w:rFonts w:eastAsia="Arial"/>
                <w:b/>
                <w:bCs/>
                <w:lang w:val="en-US"/>
              </w:rPr>
              <w:lastRenderedPageBreak/>
              <w:t>Our Vision</w:t>
            </w:r>
          </w:p>
        </w:tc>
      </w:tr>
      <w:tr w:rsidR="004768F1" w14:paraId="59147ABE" w14:textId="116E9BDF" w:rsidTr="00BF6CFC">
        <w:trPr>
          <w:trHeight w:val="883"/>
        </w:trPr>
        <w:tc>
          <w:tcPr>
            <w:cnfStyle w:val="001000000000" w:firstRow="0" w:lastRow="0" w:firstColumn="1" w:lastColumn="0" w:oddVBand="0" w:evenVBand="0" w:oddHBand="0" w:evenHBand="0" w:firstRowFirstColumn="0" w:firstRowLastColumn="0" w:lastRowFirstColumn="0" w:lastRowLastColumn="0"/>
            <w:tcW w:w="5000" w:type="pct"/>
            <w:gridSpan w:val="10"/>
          </w:tcPr>
          <w:p w14:paraId="74D3FA7C" w14:textId="77777777" w:rsidR="004768F1" w:rsidRPr="00FE289F" w:rsidRDefault="004768F1" w:rsidP="00EF0712">
            <w:pPr>
              <w:pStyle w:val="ListBullet3"/>
            </w:pPr>
            <w:r w:rsidRPr="7EAB8B67">
              <w:t>Ensure all people with PASC</w:t>
            </w:r>
            <w:r>
              <w:t>, their families and carers,</w:t>
            </w:r>
            <w:r w:rsidRPr="7EAB8B67">
              <w:t xml:space="preserve"> </w:t>
            </w:r>
            <w:r w:rsidRPr="04A5420E">
              <w:t xml:space="preserve">can </w:t>
            </w:r>
            <w:r w:rsidRPr="7EAB8B67">
              <w:t>readily access</w:t>
            </w:r>
            <w:r>
              <w:t xml:space="preserve"> support,</w:t>
            </w:r>
            <w:r w:rsidRPr="7EAB8B67">
              <w:t xml:space="preserve"> care</w:t>
            </w:r>
            <w:r>
              <w:t>,</w:t>
            </w:r>
            <w:r w:rsidRPr="7EAB8B67">
              <w:t xml:space="preserve"> and treatment to achieve the</w:t>
            </w:r>
            <w:r>
              <w:t>ir</w:t>
            </w:r>
            <w:r w:rsidRPr="7EAB8B67">
              <w:t xml:space="preserve"> best possible health and wellbeing </w:t>
            </w:r>
            <w:proofErr w:type="gramStart"/>
            <w:r w:rsidRPr="7EAB8B67">
              <w:t>outcomes</w:t>
            </w:r>
            <w:proofErr w:type="gramEnd"/>
            <w:r w:rsidRPr="7EAB8B67">
              <w:t xml:space="preserve"> </w:t>
            </w:r>
          </w:p>
          <w:p w14:paraId="5B5E74C1" w14:textId="033D5831" w:rsidR="004768F1" w:rsidRPr="7EAB8B67" w:rsidRDefault="004768F1" w:rsidP="00EF0712">
            <w:pPr>
              <w:pStyle w:val="ListBullet3"/>
            </w:pPr>
            <w:r w:rsidRPr="00066A4E">
              <w:t xml:space="preserve">A strong healthcare system that can deliver effective patient-centred care to people with PASC, when and where they need it </w:t>
            </w:r>
          </w:p>
        </w:tc>
      </w:tr>
      <w:tr w:rsidR="00D2065F" w:rsidRPr="00A7527A" w14:paraId="323D300B" w14:textId="51B1F989" w:rsidTr="00BF6CFC">
        <w:trPr>
          <w:trHeight w:val="510"/>
        </w:trPr>
        <w:tc>
          <w:tcPr>
            <w:cnfStyle w:val="001000000000" w:firstRow="0" w:lastRow="0" w:firstColumn="1" w:lastColumn="0" w:oddVBand="0" w:evenVBand="0" w:oddHBand="0" w:evenHBand="0" w:firstRowFirstColumn="0" w:firstRowLastColumn="0" w:lastRowFirstColumn="0" w:lastRowLastColumn="0"/>
            <w:tcW w:w="5000" w:type="pct"/>
            <w:gridSpan w:val="10"/>
            <w:shd w:val="clear" w:color="auto" w:fill="009999"/>
          </w:tcPr>
          <w:p w14:paraId="33BEEC6A" w14:textId="6A0EE964" w:rsidR="00D2065F" w:rsidRPr="00A7527A" w:rsidRDefault="00D2065F" w:rsidP="00A7527A">
            <w:pPr>
              <w:pStyle w:val="Tableheader"/>
              <w:rPr>
                <w:rFonts w:eastAsia="Arial"/>
                <w:b/>
                <w:bCs/>
              </w:rPr>
            </w:pPr>
            <w:r w:rsidRPr="00A7527A">
              <w:rPr>
                <w:rFonts w:eastAsia="Arial"/>
                <w:b/>
                <w:bCs/>
              </w:rPr>
              <w:t>Principles</w:t>
            </w:r>
          </w:p>
        </w:tc>
      </w:tr>
      <w:tr w:rsidR="00752D46" w14:paraId="01957226" w14:textId="3E806AB6" w:rsidTr="00BF6CFC">
        <w:trPr>
          <w:trHeight w:val="1131"/>
        </w:trPr>
        <w:tc>
          <w:tcPr>
            <w:cnfStyle w:val="001000000000" w:firstRow="0" w:lastRow="0" w:firstColumn="1" w:lastColumn="0" w:oddVBand="0" w:evenVBand="0" w:oddHBand="0" w:evenHBand="0" w:firstRowFirstColumn="0" w:firstRowLastColumn="0" w:lastRowFirstColumn="0" w:lastRowLastColumn="0"/>
            <w:tcW w:w="714" w:type="pct"/>
            <w:gridSpan w:val="2"/>
          </w:tcPr>
          <w:p w14:paraId="1FAA8598" w14:textId="660C2E2D" w:rsidR="00752D46" w:rsidRPr="00E22EDD" w:rsidRDefault="00752D46" w:rsidP="003F231A">
            <w:pPr>
              <w:tabs>
                <w:tab w:val="left" w:pos="4136"/>
              </w:tabs>
              <w:spacing w:line="276" w:lineRule="auto"/>
              <w:rPr>
                <w:rFonts w:cs="Arial"/>
                <w:b w:val="0"/>
                <w:bCs w:val="0"/>
              </w:rPr>
            </w:pPr>
            <w:r w:rsidRPr="00E22EDD">
              <w:rPr>
                <w:rFonts w:cs="Arial"/>
                <w:noProof/>
                <w:lang w:eastAsia="en-AU"/>
              </w:rPr>
              <w:drawing>
                <wp:inline distT="0" distB="0" distL="0" distR="0" wp14:anchorId="3E5EDC31" wp14:editId="325308C7">
                  <wp:extent cx="457200" cy="457200"/>
                  <wp:effectExtent l="0" t="0" r="0" b="0"/>
                  <wp:docPr id="456475182" name="Picture 4564751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75182" name="Picture 456475182">
                            <a:extLst>
                              <a:ext uri="{C183D7F6-B498-43B3-948B-1728B52AA6E4}">
                                <adec:decorative xmlns:adec="http://schemas.microsoft.com/office/drawing/2017/decorative" val="1"/>
                              </a:ext>
                            </a:extLst>
                          </pic:cNvPr>
                          <pic:cNvPicPr/>
                        </pic:nvPicPr>
                        <pic:blipFill rotWithShape="1">
                          <a:blip r:embed="rId51" cstate="print">
                            <a:duotone>
                              <a:schemeClr val="accent1">
                                <a:shade val="45000"/>
                                <a:satMod val="135000"/>
                              </a:schemeClr>
                              <a:prstClr val="white"/>
                            </a:duotone>
                            <a:extLst>
                              <a:ext uri="{28A0092B-C50C-407E-A947-70E740481C1C}">
                                <a14:useLocalDpi xmlns:a14="http://schemas.microsoft.com/office/drawing/2010/main" val="0"/>
                              </a:ext>
                            </a:extLst>
                          </a:blip>
                          <a:srcRect l="7143" t="7143" r="7143" b="7143"/>
                          <a:stretch/>
                        </pic:blipFill>
                        <pic:spPr>
                          <a:xfrm>
                            <a:off x="0" y="0"/>
                            <a:ext cx="457200" cy="457200"/>
                          </a:xfrm>
                          <a:prstGeom prst="rect">
                            <a:avLst/>
                          </a:prstGeom>
                          <a:ln>
                            <a:noFill/>
                          </a:ln>
                        </pic:spPr>
                      </pic:pic>
                    </a:graphicData>
                  </a:graphic>
                </wp:inline>
              </w:drawing>
            </w:r>
            <w:r w:rsidRPr="00BF6CFC">
              <w:rPr>
                <w:rStyle w:val="Strong"/>
                <w:rFonts w:ascii="Arial Bold" w:hAnsi="Arial Bold"/>
                <w:b/>
                <w:bCs/>
                <w:color w:val="auto"/>
              </w:rPr>
              <w:t>Patient-centred</w:t>
            </w:r>
          </w:p>
        </w:tc>
        <w:tc>
          <w:tcPr>
            <w:tcW w:w="714" w:type="pct"/>
          </w:tcPr>
          <w:p w14:paraId="6BD3D80E" w14:textId="5DA7AA57" w:rsidR="00752D46" w:rsidRPr="00E22EDD" w:rsidRDefault="00752D46" w:rsidP="003F231A">
            <w:pPr>
              <w:tabs>
                <w:tab w:val="left" w:pos="4136"/>
              </w:tabs>
              <w:spacing w:line="276" w:lineRule="auto"/>
              <w:cnfStyle w:val="000000000000" w:firstRow="0" w:lastRow="0" w:firstColumn="0" w:lastColumn="0" w:oddVBand="0" w:evenVBand="0" w:oddHBand="0" w:evenHBand="0" w:firstRowFirstColumn="0" w:firstRowLastColumn="0" w:lastRowFirstColumn="0" w:lastRowLastColumn="0"/>
              <w:rPr>
                <w:rFonts w:cs="Arial"/>
                <w:b/>
                <w:bCs/>
                <w:color w:val="1F3864" w:themeColor="accent1" w:themeShade="80"/>
              </w:rPr>
            </w:pPr>
            <w:r w:rsidRPr="00E22EDD">
              <w:rPr>
                <w:rFonts w:cs="Arial"/>
                <w:noProof/>
                <w:lang w:eastAsia="en-AU"/>
              </w:rPr>
              <w:drawing>
                <wp:inline distT="0" distB="0" distL="0" distR="0" wp14:anchorId="108E41B5" wp14:editId="3C7B6E49">
                  <wp:extent cx="457200" cy="457200"/>
                  <wp:effectExtent l="0" t="0" r="0" b="0"/>
                  <wp:docPr id="643318457" name="Picture 6433184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318457" name="Picture 643318457">
                            <a:extLst>
                              <a:ext uri="{C183D7F6-B498-43B3-948B-1728B52AA6E4}">
                                <adec:decorative xmlns:adec="http://schemas.microsoft.com/office/drawing/2017/decorative" val="1"/>
                              </a:ext>
                            </a:extLst>
                          </pic:cNvPr>
                          <pic:cNvPicPr/>
                        </pic:nvPicPr>
                        <pic:blipFill rotWithShape="1">
                          <a:blip r:embed="rId52" cstate="print">
                            <a:duotone>
                              <a:schemeClr val="accent1">
                                <a:shade val="45000"/>
                                <a:satMod val="135000"/>
                              </a:schemeClr>
                              <a:prstClr val="white"/>
                            </a:duotone>
                            <a:extLst>
                              <a:ext uri="{28A0092B-C50C-407E-A947-70E740481C1C}">
                                <a14:useLocalDpi xmlns:a14="http://schemas.microsoft.com/office/drawing/2010/main" val="0"/>
                              </a:ext>
                            </a:extLst>
                          </a:blip>
                          <a:srcRect l="3845" r="3847" b="7692"/>
                          <a:stretch/>
                        </pic:blipFill>
                        <pic:spPr>
                          <a:xfrm>
                            <a:off x="0" y="0"/>
                            <a:ext cx="457200" cy="457200"/>
                          </a:xfrm>
                          <a:prstGeom prst="rect">
                            <a:avLst/>
                          </a:prstGeom>
                        </pic:spPr>
                      </pic:pic>
                    </a:graphicData>
                  </a:graphic>
                </wp:inline>
              </w:drawing>
            </w:r>
            <w:r w:rsidRPr="00E22EDD">
              <w:rPr>
                <w:rFonts w:cs="Arial"/>
              </w:rPr>
              <w:t xml:space="preserve"> </w:t>
            </w:r>
            <w:r w:rsidRPr="00293AC5">
              <w:rPr>
                <w:rStyle w:val="Strong"/>
              </w:rPr>
              <w:t>Empowering</w:t>
            </w:r>
          </w:p>
        </w:tc>
        <w:tc>
          <w:tcPr>
            <w:tcW w:w="714" w:type="pct"/>
          </w:tcPr>
          <w:p w14:paraId="391487FF" w14:textId="2C337FD4" w:rsidR="00752D46" w:rsidRPr="00E22EDD" w:rsidRDefault="00752D46" w:rsidP="003F231A">
            <w:pPr>
              <w:tabs>
                <w:tab w:val="left" w:pos="4136"/>
              </w:tabs>
              <w:spacing w:line="276" w:lineRule="auto"/>
              <w:cnfStyle w:val="000000000000" w:firstRow="0" w:lastRow="0" w:firstColumn="0" w:lastColumn="0" w:oddVBand="0" w:evenVBand="0" w:oddHBand="0" w:evenHBand="0" w:firstRowFirstColumn="0" w:firstRowLastColumn="0" w:lastRowFirstColumn="0" w:lastRowLastColumn="0"/>
              <w:rPr>
                <w:rFonts w:cs="Arial"/>
                <w:b/>
                <w:bCs/>
                <w:color w:val="1F3864" w:themeColor="accent1" w:themeShade="80"/>
              </w:rPr>
            </w:pPr>
            <w:r w:rsidRPr="00E22EDD">
              <w:rPr>
                <w:rFonts w:cs="Arial"/>
                <w:noProof/>
                <w:lang w:eastAsia="en-AU"/>
              </w:rPr>
              <w:drawing>
                <wp:inline distT="0" distB="0" distL="0" distR="0" wp14:anchorId="618659B3" wp14:editId="7A2C1C17">
                  <wp:extent cx="457200" cy="457200"/>
                  <wp:effectExtent l="0" t="0" r="0" b="0"/>
                  <wp:docPr id="232207726" name="Picture 2322077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07726" name="Picture 232207726">
                            <a:extLst>
                              <a:ext uri="{C183D7F6-B498-43B3-948B-1728B52AA6E4}">
                                <adec:decorative xmlns:adec="http://schemas.microsoft.com/office/drawing/2017/decorative" val="1"/>
                              </a:ext>
                            </a:extLst>
                          </pic:cNvPr>
                          <pic:cNvPicPr/>
                        </pic:nvPicPr>
                        <pic:blipFill rotWithShape="1">
                          <a:blip r:embed="rId53">
                            <a:duotone>
                              <a:schemeClr val="accent1">
                                <a:shade val="45000"/>
                                <a:satMod val="135000"/>
                              </a:schemeClr>
                              <a:prstClr val="white"/>
                            </a:duotone>
                            <a:extLst>
                              <a:ext uri="{28A0092B-C50C-407E-A947-70E740481C1C}">
                                <a14:useLocalDpi xmlns:a14="http://schemas.microsoft.com/office/drawing/2010/main" val="0"/>
                              </a:ext>
                            </a:extLst>
                          </a:blip>
                          <a:srcRect l="5455" t="5455" r="7272" b="7272"/>
                          <a:stretch/>
                        </pic:blipFill>
                        <pic:spPr>
                          <a:xfrm>
                            <a:off x="0" y="0"/>
                            <a:ext cx="457200" cy="457200"/>
                          </a:xfrm>
                          <a:prstGeom prst="rect">
                            <a:avLst/>
                          </a:prstGeom>
                        </pic:spPr>
                      </pic:pic>
                    </a:graphicData>
                  </a:graphic>
                </wp:inline>
              </w:drawing>
            </w:r>
            <w:r w:rsidRPr="00E22EDD">
              <w:rPr>
                <w:rFonts w:cs="Arial"/>
              </w:rPr>
              <w:t xml:space="preserve"> </w:t>
            </w:r>
            <w:r w:rsidRPr="00293AC5">
              <w:rPr>
                <w:rStyle w:val="Strong"/>
              </w:rPr>
              <w:t>Equitable</w:t>
            </w:r>
          </w:p>
        </w:tc>
        <w:tc>
          <w:tcPr>
            <w:tcW w:w="714" w:type="pct"/>
            <w:gridSpan w:val="2"/>
          </w:tcPr>
          <w:p w14:paraId="63B225AA" w14:textId="10C89693" w:rsidR="00752D46" w:rsidRPr="00E22EDD" w:rsidRDefault="00752D46" w:rsidP="003F231A">
            <w:pPr>
              <w:tabs>
                <w:tab w:val="left" w:pos="4136"/>
              </w:tabs>
              <w:spacing w:line="276" w:lineRule="auto"/>
              <w:cnfStyle w:val="000000000000" w:firstRow="0" w:lastRow="0" w:firstColumn="0" w:lastColumn="0" w:oddVBand="0" w:evenVBand="0" w:oddHBand="0" w:evenHBand="0" w:firstRowFirstColumn="0" w:firstRowLastColumn="0" w:lastRowFirstColumn="0" w:lastRowLastColumn="0"/>
              <w:rPr>
                <w:rFonts w:cs="Arial"/>
                <w:b/>
                <w:bCs/>
                <w:color w:val="1F3864" w:themeColor="accent1" w:themeShade="80"/>
              </w:rPr>
            </w:pPr>
            <w:r w:rsidRPr="00E22EDD">
              <w:rPr>
                <w:rFonts w:cs="Arial"/>
                <w:noProof/>
                <w:lang w:eastAsia="en-AU"/>
              </w:rPr>
              <w:drawing>
                <wp:inline distT="0" distB="0" distL="0" distR="0" wp14:anchorId="605AA467" wp14:editId="1061FD68">
                  <wp:extent cx="457200" cy="493776"/>
                  <wp:effectExtent l="0" t="0" r="0" b="1905"/>
                  <wp:docPr id="1308422867" name="Picture 13084228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422867" name="Picture 1308422867">
                            <a:extLst>
                              <a:ext uri="{C183D7F6-B498-43B3-948B-1728B52AA6E4}">
                                <adec:decorative xmlns:adec="http://schemas.microsoft.com/office/drawing/2017/decorative" val="1"/>
                              </a:ext>
                            </a:extLst>
                          </pic:cNvPr>
                          <pic:cNvPicPr/>
                        </pic:nvPicPr>
                        <pic:blipFill rotWithShape="1">
                          <a:blip r:embed="rId54" cstate="print">
                            <a:duotone>
                              <a:schemeClr val="accent1">
                                <a:shade val="45000"/>
                                <a:satMod val="135000"/>
                              </a:schemeClr>
                              <a:prstClr val="white"/>
                            </a:duotone>
                            <a:extLst>
                              <a:ext uri="{28A0092B-C50C-407E-A947-70E740481C1C}">
                                <a14:useLocalDpi xmlns:a14="http://schemas.microsoft.com/office/drawing/2010/main" val="0"/>
                              </a:ext>
                            </a:extLst>
                          </a:blip>
                          <a:srcRect l="12708" t="10972" r="12741" b="7837"/>
                          <a:stretch/>
                        </pic:blipFill>
                        <pic:spPr bwMode="auto">
                          <a:xfrm>
                            <a:off x="0" y="0"/>
                            <a:ext cx="457200" cy="493776"/>
                          </a:xfrm>
                          <a:prstGeom prst="rect">
                            <a:avLst/>
                          </a:prstGeom>
                          <a:ln>
                            <a:noFill/>
                          </a:ln>
                          <a:extLst>
                            <a:ext uri="{53640926-AAD7-44D8-BBD7-CCE9431645EC}">
                              <a14:shadowObscured xmlns:a14="http://schemas.microsoft.com/office/drawing/2010/main"/>
                            </a:ext>
                          </a:extLst>
                        </pic:spPr>
                      </pic:pic>
                    </a:graphicData>
                  </a:graphic>
                </wp:inline>
              </w:drawing>
            </w:r>
            <w:r w:rsidRPr="00E22EDD">
              <w:rPr>
                <w:rFonts w:cs="Arial"/>
              </w:rPr>
              <w:t xml:space="preserve"> </w:t>
            </w:r>
            <w:r w:rsidRPr="00293AC5">
              <w:rPr>
                <w:rStyle w:val="Strong"/>
              </w:rPr>
              <w:t>Efficient</w:t>
            </w:r>
          </w:p>
        </w:tc>
        <w:tc>
          <w:tcPr>
            <w:tcW w:w="714" w:type="pct"/>
          </w:tcPr>
          <w:p w14:paraId="445BD767" w14:textId="305934E5" w:rsidR="00752D46" w:rsidRPr="00E22EDD" w:rsidRDefault="00752D46" w:rsidP="003F231A">
            <w:pPr>
              <w:tabs>
                <w:tab w:val="left" w:pos="4136"/>
              </w:tabs>
              <w:spacing w:line="276" w:lineRule="auto"/>
              <w:cnfStyle w:val="000000000000" w:firstRow="0" w:lastRow="0" w:firstColumn="0" w:lastColumn="0" w:oddVBand="0" w:evenVBand="0" w:oddHBand="0" w:evenHBand="0" w:firstRowFirstColumn="0" w:firstRowLastColumn="0" w:lastRowFirstColumn="0" w:lastRowLastColumn="0"/>
              <w:rPr>
                <w:rFonts w:cs="Arial"/>
                <w:b/>
                <w:bCs/>
                <w:color w:val="1F3864" w:themeColor="accent1" w:themeShade="80"/>
              </w:rPr>
            </w:pPr>
            <w:r>
              <w:rPr>
                <w:rFonts w:cs="Arial"/>
                <w:noProof/>
                <w:lang w:eastAsia="en-AU"/>
              </w:rPr>
              <w:drawing>
                <wp:inline distT="0" distB="0" distL="0" distR="0" wp14:anchorId="2A847AF2" wp14:editId="376D6ABC">
                  <wp:extent cx="457200" cy="457200"/>
                  <wp:effectExtent l="0" t="0" r="0" b="0"/>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55" cstate="print">
                            <a:alphaModFix amt="98000"/>
                            <a:extLst>
                              <a:ext uri="{28A0092B-C50C-407E-A947-70E740481C1C}">
                                <a14:useLocalDpi xmlns:a14="http://schemas.microsoft.com/office/drawing/2010/main" val="0"/>
                              </a:ext>
                              <a:ext uri="{96DAC541-7B7A-43D3-8B79-37D633B846F1}">
                                <asvg:svgBlip xmlns:asvg="http://schemas.microsoft.com/office/drawing/2016/SVG/main" r:embed="rId56"/>
                              </a:ext>
                            </a:extLst>
                          </a:blip>
                          <a:srcRect l="16899" t="16902" r="15494" b="15492"/>
                          <a:stretch/>
                        </pic:blipFill>
                        <pic:spPr>
                          <a:xfrm>
                            <a:off x="0" y="0"/>
                            <a:ext cx="457200" cy="457200"/>
                          </a:xfrm>
                          <a:prstGeom prst="rect">
                            <a:avLst/>
                          </a:prstGeom>
                        </pic:spPr>
                      </pic:pic>
                    </a:graphicData>
                  </a:graphic>
                </wp:inline>
              </w:drawing>
            </w:r>
            <w:r w:rsidRPr="00E22EDD">
              <w:rPr>
                <w:rFonts w:cs="Arial"/>
              </w:rPr>
              <w:t xml:space="preserve"> </w:t>
            </w:r>
            <w:r w:rsidRPr="00293AC5">
              <w:rPr>
                <w:rStyle w:val="Strong"/>
              </w:rPr>
              <w:t>Sustainable</w:t>
            </w:r>
          </w:p>
        </w:tc>
        <w:tc>
          <w:tcPr>
            <w:tcW w:w="714" w:type="pct"/>
            <w:gridSpan w:val="2"/>
          </w:tcPr>
          <w:p w14:paraId="126372CC" w14:textId="3F902110" w:rsidR="00752D46" w:rsidRPr="00E22EDD" w:rsidRDefault="00752D46" w:rsidP="003F231A">
            <w:pPr>
              <w:tabs>
                <w:tab w:val="left" w:pos="4136"/>
              </w:tabs>
              <w:spacing w:line="276" w:lineRule="auto"/>
              <w:cnfStyle w:val="000000000000" w:firstRow="0" w:lastRow="0" w:firstColumn="0" w:lastColumn="0" w:oddVBand="0" w:evenVBand="0" w:oddHBand="0" w:evenHBand="0" w:firstRowFirstColumn="0" w:firstRowLastColumn="0" w:lastRowFirstColumn="0" w:lastRowLastColumn="0"/>
              <w:rPr>
                <w:rFonts w:cs="Arial"/>
                <w:b/>
                <w:bCs/>
                <w:color w:val="1F3864" w:themeColor="accent1" w:themeShade="80"/>
              </w:rPr>
            </w:pPr>
            <w:r w:rsidRPr="00E22EDD">
              <w:rPr>
                <w:rFonts w:cs="Arial"/>
                <w:noProof/>
                <w:lang w:eastAsia="en-AU"/>
              </w:rPr>
              <w:drawing>
                <wp:inline distT="0" distB="0" distL="0" distR="0" wp14:anchorId="5F3EA0F9" wp14:editId="00B2504B">
                  <wp:extent cx="457200" cy="457200"/>
                  <wp:effectExtent l="0" t="0" r="0" b="0"/>
                  <wp:docPr id="1644476190" name="Picture 1644476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476190" name="Picture 1644476190">
                            <a:extLst>
                              <a:ext uri="{C183D7F6-B498-43B3-948B-1728B52AA6E4}">
                                <adec:decorative xmlns:adec="http://schemas.microsoft.com/office/drawing/2017/decorative" val="1"/>
                              </a:ext>
                            </a:extLst>
                          </pic:cNvPr>
                          <pic:cNvPicPr/>
                        </pic:nvPicPr>
                        <pic:blipFill rotWithShape="1">
                          <a:blip r:embed="rId57" cstate="print">
                            <a:duotone>
                              <a:schemeClr val="accent1">
                                <a:shade val="45000"/>
                                <a:satMod val="135000"/>
                              </a:schemeClr>
                              <a:prstClr val="white"/>
                            </a:duotone>
                            <a:extLst>
                              <a:ext uri="{28A0092B-C50C-407E-A947-70E740481C1C}">
                                <a14:useLocalDpi xmlns:a14="http://schemas.microsoft.com/office/drawing/2010/main" val="0"/>
                              </a:ext>
                            </a:extLst>
                          </a:blip>
                          <a:srcRect l="8622" t="13043" r="8621" b="17391"/>
                          <a:stretch/>
                        </pic:blipFill>
                        <pic:spPr>
                          <a:xfrm>
                            <a:off x="0" y="0"/>
                            <a:ext cx="457200" cy="457200"/>
                          </a:xfrm>
                          <a:prstGeom prst="rect">
                            <a:avLst/>
                          </a:prstGeom>
                        </pic:spPr>
                      </pic:pic>
                    </a:graphicData>
                  </a:graphic>
                </wp:inline>
              </w:drawing>
            </w:r>
            <w:r w:rsidRPr="00BF6CFC">
              <w:t xml:space="preserve"> </w:t>
            </w:r>
            <w:r w:rsidRPr="00293AC5">
              <w:rPr>
                <w:rStyle w:val="Strong"/>
              </w:rPr>
              <w:t>Accessible</w:t>
            </w:r>
          </w:p>
        </w:tc>
        <w:tc>
          <w:tcPr>
            <w:tcW w:w="716" w:type="pct"/>
          </w:tcPr>
          <w:p w14:paraId="5F8A978A" w14:textId="6F89743A" w:rsidR="00752D46" w:rsidRPr="00E22EDD" w:rsidRDefault="00752D46" w:rsidP="00BF6CFC">
            <w:pPr>
              <w:tabs>
                <w:tab w:val="left" w:pos="4136"/>
              </w:tabs>
              <w:spacing w:line="276" w:lineRule="auto"/>
              <w:cnfStyle w:val="000000000000" w:firstRow="0" w:lastRow="0" w:firstColumn="0" w:lastColumn="0" w:oddVBand="0" w:evenVBand="0" w:oddHBand="0" w:evenHBand="0" w:firstRowFirstColumn="0" w:firstRowLastColumn="0" w:lastRowFirstColumn="0" w:lastRowLastColumn="0"/>
              <w:rPr>
                <w:rFonts w:cs="Arial"/>
              </w:rPr>
            </w:pPr>
            <w:r w:rsidRPr="00E22EDD">
              <w:rPr>
                <w:rFonts w:cs="Arial"/>
                <w:noProof/>
                <w:lang w:eastAsia="en-AU"/>
              </w:rPr>
              <w:drawing>
                <wp:inline distT="0" distB="0" distL="0" distR="0" wp14:anchorId="3E18819E" wp14:editId="4D314CDC">
                  <wp:extent cx="457200" cy="457200"/>
                  <wp:effectExtent l="0" t="0" r="0" b="0"/>
                  <wp:docPr id="1312789188" name="Picture 1312789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89188" name="Picture 1312789188">
                            <a:extLst>
                              <a:ext uri="{C183D7F6-B498-43B3-948B-1728B52AA6E4}">
                                <adec:decorative xmlns:adec="http://schemas.microsoft.com/office/drawing/2017/decorative" val="1"/>
                              </a:ext>
                            </a:extLst>
                          </pic:cNvPr>
                          <pic:cNvPicPr/>
                        </pic:nvPicPr>
                        <pic:blipFill rotWithShape="1">
                          <a:blip r:embed="rId58" cstate="print">
                            <a:duotone>
                              <a:schemeClr val="accent1">
                                <a:shade val="45000"/>
                                <a:satMod val="135000"/>
                              </a:schemeClr>
                              <a:prstClr val="white"/>
                            </a:duotone>
                            <a:extLst>
                              <a:ext uri="{28A0092B-C50C-407E-A947-70E740481C1C}">
                                <a14:useLocalDpi xmlns:a14="http://schemas.microsoft.com/office/drawing/2010/main" val="0"/>
                              </a:ext>
                            </a:extLst>
                          </a:blip>
                          <a:srcRect l="8620" t="7143" r="8622" b="7143"/>
                          <a:stretch/>
                        </pic:blipFill>
                        <pic:spPr>
                          <a:xfrm>
                            <a:off x="0" y="0"/>
                            <a:ext cx="457200" cy="457200"/>
                          </a:xfrm>
                          <a:prstGeom prst="rect">
                            <a:avLst/>
                          </a:prstGeom>
                        </pic:spPr>
                      </pic:pic>
                    </a:graphicData>
                  </a:graphic>
                </wp:inline>
              </w:drawing>
            </w:r>
            <w:r>
              <w:rPr>
                <w:rFonts w:cs="Arial"/>
              </w:rPr>
              <w:t xml:space="preserve"> </w:t>
            </w:r>
            <w:r w:rsidRPr="00293AC5">
              <w:rPr>
                <w:rStyle w:val="Strong"/>
              </w:rPr>
              <w:t>Informed by lived experience</w:t>
            </w:r>
          </w:p>
        </w:tc>
      </w:tr>
      <w:tr w:rsidR="00875682" w:rsidRPr="00F1504C" w14:paraId="3CE8F140" w14:textId="77777777" w:rsidTr="00BF6CFC">
        <w:trPr>
          <w:trHeight w:val="461"/>
        </w:trPr>
        <w:tc>
          <w:tcPr>
            <w:cnfStyle w:val="001000000000" w:firstRow="0" w:lastRow="0" w:firstColumn="1" w:lastColumn="0" w:oddVBand="0" w:evenVBand="0" w:oddHBand="0" w:evenHBand="0" w:firstRowFirstColumn="0" w:firstRowLastColumn="0" w:lastRowFirstColumn="0" w:lastRowLastColumn="0"/>
            <w:tcW w:w="502" w:type="pct"/>
            <w:shd w:val="clear" w:color="auto" w:fill="009999"/>
          </w:tcPr>
          <w:p w14:paraId="3C5D4EF8" w14:textId="465CC357" w:rsidR="00936977" w:rsidRPr="00A7527A" w:rsidRDefault="00936977" w:rsidP="00EF0712">
            <w:pPr>
              <w:pStyle w:val="Tableheader"/>
              <w:rPr>
                <w:b/>
                <w:bCs/>
              </w:rPr>
            </w:pPr>
            <w:bookmarkStart w:id="35" w:name="_Hlk139376853"/>
            <w:r w:rsidRPr="00A7527A">
              <w:rPr>
                <w:b/>
                <w:bCs/>
              </w:rPr>
              <w:t>Strategic priorities</w:t>
            </w:r>
          </w:p>
        </w:tc>
        <w:tc>
          <w:tcPr>
            <w:tcW w:w="1667" w:type="pct"/>
            <w:gridSpan w:val="4"/>
            <w:shd w:val="clear" w:color="auto" w:fill="009999"/>
          </w:tcPr>
          <w:p w14:paraId="62AB6445" w14:textId="6FBECD53" w:rsidR="00936977" w:rsidRPr="00EF0712" w:rsidRDefault="00936977" w:rsidP="00EF0712">
            <w:pPr>
              <w:pStyle w:val="Tableheader"/>
              <w:cnfStyle w:val="000000000000" w:firstRow="0" w:lastRow="0" w:firstColumn="0" w:lastColumn="0" w:oddVBand="0" w:evenVBand="0" w:oddHBand="0" w:evenHBand="0" w:firstRowFirstColumn="0" w:firstRowLastColumn="0" w:lastRowFirstColumn="0" w:lastRowLastColumn="0"/>
            </w:pPr>
            <w:r w:rsidRPr="00EF0712">
              <w:t>Strategies</w:t>
            </w:r>
          </w:p>
        </w:tc>
        <w:tc>
          <w:tcPr>
            <w:tcW w:w="1415" w:type="pct"/>
            <w:gridSpan w:val="3"/>
            <w:shd w:val="clear" w:color="auto" w:fill="009999"/>
          </w:tcPr>
          <w:p w14:paraId="6432A5A6" w14:textId="05D7D880" w:rsidR="00936977" w:rsidRPr="00EF0712" w:rsidRDefault="00936977" w:rsidP="00EF0712">
            <w:pPr>
              <w:pStyle w:val="Tableheader"/>
              <w:cnfStyle w:val="000000000000" w:firstRow="0" w:lastRow="0" w:firstColumn="0" w:lastColumn="0" w:oddVBand="0" w:evenVBand="0" w:oddHBand="0" w:evenHBand="0" w:firstRowFirstColumn="0" w:firstRowLastColumn="0" w:lastRowFirstColumn="0" w:lastRowLastColumn="0"/>
            </w:pPr>
            <w:r w:rsidRPr="00EF0712">
              <w:t>Outcomes</w:t>
            </w:r>
          </w:p>
        </w:tc>
        <w:tc>
          <w:tcPr>
            <w:tcW w:w="1416" w:type="pct"/>
            <w:gridSpan w:val="2"/>
            <w:shd w:val="clear" w:color="auto" w:fill="009999"/>
          </w:tcPr>
          <w:p w14:paraId="0609B171" w14:textId="2C1EBBD8" w:rsidR="00936977" w:rsidRPr="00EF0712" w:rsidRDefault="00936977" w:rsidP="00EF0712">
            <w:pPr>
              <w:pStyle w:val="Tableheader"/>
              <w:cnfStyle w:val="000000000000" w:firstRow="0" w:lastRow="0" w:firstColumn="0" w:lastColumn="0" w:oddVBand="0" w:evenVBand="0" w:oddHBand="0" w:evenHBand="0" w:firstRowFirstColumn="0" w:firstRowLastColumn="0" w:lastRowFirstColumn="0" w:lastRowLastColumn="0"/>
              <w:rPr>
                <w:rFonts w:eastAsia="Arial"/>
              </w:rPr>
            </w:pPr>
            <w:r w:rsidRPr="00EF0712">
              <w:t>Action</w:t>
            </w:r>
            <w:r w:rsidR="007F60E3" w:rsidRPr="00EF0712">
              <w:t>s</w:t>
            </w:r>
            <w:r w:rsidRPr="00EF0712">
              <w:t xml:space="preserve"> to date</w:t>
            </w:r>
          </w:p>
        </w:tc>
      </w:tr>
      <w:tr w:rsidR="00875682" w:rsidRPr="00F1504C" w14:paraId="692425F1" w14:textId="77777777" w:rsidTr="00BF6CFC">
        <w:trPr>
          <w:trHeight w:val="3385"/>
        </w:trPr>
        <w:tc>
          <w:tcPr>
            <w:cnfStyle w:val="001000000000" w:firstRow="0" w:lastRow="0" w:firstColumn="1" w:lastColumn="0" w:oddVBand="0" w:evenVBand="0" w:oddHBand="0" w:evenHBand="0" w:firstRowFirstColumn="0" w:firstRowLastColumn="0" w:lastRowFirstColumn="0" w:lastRowLastColumn="0"/>
            <w:tcW w:w="502" w:type="pct"/>
          </w:tcPr>
          <w:p w14:paraId="431785DD" w14:textId="3C79D7A9" w:rsidR="00936977" w:rsidRPr="000B1622" w:rsidRDefault="00936977" w:rsidP="00EF0712">
            <w:pPr>
              <w:pStyle w:val="Tabletextboldblue"/>
            </w:pPr>
            <w:r w:rsidRPr="000B1622">
              <w:t xml:space="preserve">Improving primary care-based models of care </w:t>
            </w:r>
            <w:r w:rsidR="00F627C3">
              <w:t>available to people with</w:t>
            </w:r>
            <w:r w:rsidR="00F627C3" w:rsidRPr="000B1622">
              <w:t xml:space="preserve"> </w:t>
            </w:r>
            <w:r w:rsidRPr="000B1622">
              <w:t>PASC</w:t>
            </w:r>
          </w:p>
        </w:tc>
        <w:tc>
          <w:tcPr>
            <w:tcW w:w="1667" w:type="pct"/>
            <w:gridSpan w:val="4"/>
          </w:tcPr>
          <w:p w14:paraId="1402A585" w14:textId="77777777" w:rsidR="00936977" w:rsidRPr="000B1622"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Build workforce capacity by incentivising general practices to employ a range of healthcare providers.</w:t>
            </w:r>
          </w:p>
          <w:p w14:paraId="44949EC8" w14:textId="77777777" w:rsidR="00936977" w:rsidRPr="000B1622"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Review existing telehealth MBS items, and consider the need for additional or amended items, to increase the use of telehealth and digital health resources for primary care delivery, including for rural and remote areas.</w:t>
            </w:r>
          </w:p>
          <w:p w14:paraId="149C3E3B" w14:textId="77777777" w:rsidR="00936977" w:rsidRPr="000B1622"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Increase the number of primary health services providing after hours care.</w:t>
            </w:r>
          </w:p>
          <w:p w14:paraId="490C17E1" w14:textId="77777777" w:rsidR="00936977" w:rsidRPr="000B1622"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Review MBS item rebates to increase the number of bulk-billed primary care services.</w:t>
            </w:r>
          </w:p>
          <w:p w14:paraId="78773C15" w14:textId="6FFCE049" w:rsidR="00936977" w:rsidRPr="000B1622"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Continue to assess current arrangements in primary care funding, workforce distribution, and policy commitments required to support management of people with PASC; including how these align with existing reforms.</w:t>
            </w:r>
          </w:p>
        </w:tc>
        <w:tc>
          <w:tcPr>
            <w:tcW w:w="1415" w:type="pct"/>
            <w:gridSpan w:val="3"/>
          </w:tcPr>
          <w:p w14:paraId="08216525" w14:textId="77777777" w:rsidR="00936977" w:rsidRPr="00766CF7"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766CF7">
              <w:t>Increased number of people with PASC being managed through a primary health led model of care, with wrap around multidisciplinary support available as part of a holistic patient-centred approach to management.</w:t>
            </w:r>
          </w:p>
          <w:p w14:paraId="0431E50E" w14:textId="77777777" w:rsidR="00936977" w:rsidRPr="000B1622"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Improved access to primary care services and supports for people with PASC, particularly for priority populations.</w:t>
            </w:r>
            <w:r w:rsidRPr="00B652BF">
              <w:rPr>
                <w:sz w:val="20"/>
                <w:szCs w:val="20"/>
                <w:vertAlign w:val="superscript"/>
              </w:rPr>
              <w:footnoteReference w:id="9"/>
            </w:r>
          </w:p>
          <w:p w14:paraId="1148F8CD" w14:textId="13DABCBF" w:rsidR="00936977" w:rsidRPr="00A1021C"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Ongoing reform of the Australian health system, with a focus on primary care, to improve care of complex and chronic conditions, including PASC.</w:t>
            </w:r>
          </w:p>
        </w:tc>
        <w:tc>
          <w:tcPr>
            <w:tcW w:w="1416" w:type="pct"/>
            <w:gridSpan w:val="2"/>
          </w:tcPr>
          <w:p w14:paraId="530E15CA" w14:textId="69090646" w:rsidR="00936977" w:rsidRPr="000B1622" w:rsidRDefault="00936977" w:rsidP="00EF0712">
            <w:pPr>
              <w:pStyle w:val="Tablelistbullet"/>
              <w:cnfStyle w:val="000000000000" w:firstRow="0" w:lastRow="0" w:firstColumn="0" w:lastColumn="0" w:oddVBand="0" w:evenVBand="0" w:oddHBand="0" w:evenHBand="0" w:firstRowFirstColumn="0" w:firstRowLastColumn="0" w:lastRowFirstColumn="0" w:lastRowLastColumn="0"/>
              <w:rPr>
                <w:rFonts w:eastAsia="Arial"/>
              </w:rPr>
            </w:pPr>
            <w:r w:rsidRPr="000B1622">
              <w:rPr>
                <w:rFonts w:eastAsia="Arial"/>
                <w:color w:val="000000" w:themeColor="text1"/>
              </w:rPr>
              <w:t>$</w:t>
            </w:r>
            <w:r w:rsidR="00B652BF">
              <w:rPr>
                <w:rFonts w:eastAsia="Arial"/>
                <w:color w:val="000000" w:themeColor="text1"/>
              </w:rPr>
              <w:t>6.1</w:t>
            </w:r>
            <w:r w:rsidRPr="000B1622">
              <w:rPr>
                <w:rFonts w:eastAsia="Arial"/>
                <w:color w:val="000000" w:themeColor="text1"/>
              </w:rPr>
              <w:t xml:space="preserve"> billion investment</w:t>
            </w:r>
            <w:r w:rsidR="1E8B8D6C" w:rsidRPr="1B246041">
              <w:rPr>
                <w:rFonts w:eastAsia="Arial"/>
                <w:color w:val="000000" w:themeColor="text1"/>
              </w:rPr>
              <w:t xml:space="preserve"> </w:t>
            </w:r>
            <w:r w:rsidRPr="1B246041">
              <w:rPr>
                <w:rFonts w:eastAsia="Arial"/>
                <w:color w:val="000000" w:themeColor="text1"/>
              </w:rPr>
              <w:t>in</w:t>
            </w:r>
            <w:r w:rsidRPr="000B1622">
              <w:rPr>
                <w:rFonts w:eastAsia="Arial"/>
                <w:color w:val="000000" w:themeColor="text1"/>
              </w:rPr>
              <w:t xml:space="preserve"> </w:t>
            </w:r>
            <w:r w:rsidRPr="000B1622">
              <w:rPr>
                <w:rFonts w:eastAsia="Arial"/>
              </w:rPr>
              <w:t>reforms to build a stronger Medicare as detailed in the 2023-24 Budget.</w:t>
            </w:r>
          </w:p>
          <w:p w14:paraId="5E66BE0C" w14:textId="7A5A9B5E" w:rsidR="00936977" w:rsidRDefault="00936977" w:rsidP="00993D99">
            <w:pPr>
              <w:pStyle w:val="Tablelistbulletlevel2"/>
              <w:cnfStyle w:val="000000000000" w:firstRow="0" w:lastRow="0" w:firstColumn="0" w:lastColumn="0" w:oddVBand="0" w:evenVBand="0" w:oddHBand="0" w:evenHBand="0" w:firstRowFirstColumn="0" w:firstRowLastColumn="0" w:lastRowFirstColumn="0" w:lastRowLastColumn="0"/>
            </w:pPr>
            <w:r w:rsidRPr="000B1622">
              <w:t>This include</w:t>
            </w:r>
            <w:r w:rsidR="00C63E39">
              <w:t>s</w:t>
            </w:r>
            <w:r w:rsidRPr="000B1622">
              <w:t xml:space="preserve"> a commitment of $445.1 million over five years to expand general practices and improve patient care by incentivising practices to employ a range of health professionals to provide team-based care.</w:t>
            </w:r>
          </w:p>
          <w:p w14:paraId="208A08D0" w14:textId="555FADDD" w:rsidR="00751A5A" w:rsidRPr="00751A5A" w:rsidRDefault="00751A5A" w:rsidP="00993D99">
            <w:pPr>
              <w:pStyle w:val="Tablelistbulletlevel2"/>
              <w:cnfStyle w:val="000000000000" w:firstRow="0" w:lastRow="0" w:firstColumn="0" w:lastColumn="0" w:oddVBand="0" w:evenVBand="0" w:oddHBand="0" w:evenHBand="0" w:firstRowFirstColumn="0" w:firstRowLastColumn="0" w:lastRowFirstColumn="0" w:lastRowLastColumn="0"/>
            </w:pPr>
            <w:r w:rsidRPr="00BF4EF4">
              <w:t>It also includes $79.4 million over four years for Primary Health Networks to commission multidisciplinary services that support small general practices that cannot engage a multidisciplinary workforce through other funding streams.</w:t>
            </w:r>
          </w:p>
          <w:p w14:paraId="377D9E06" w14:textId="47F00DC5" w:rsidR="00936977" w:rsidRPr="000B1622" w:rsidRDefault="00936977" w:rsidP="00EF0712">
            <w:pPr>
              <w:pStyle w:val="Tablelistbullet"/>
              <w:cnfStyle w:val="000000000000" w:firstRow="0" w:lastRow="0" w:firstColumn="0" w:lastColumn="0" w:oddVBand="0" w:evenVBand="0" w:oddHBand="0" w:evenHBand="0" w:firstRowFirstColumn="0" w:firstRowLastColumn="0" w:lastRowFirstColumn="0" w:lastRowLastColumn="0"/>
              <w:rPr>
                <w:rFonts w:eastAsia="Arial"/>
              </w:rPr>
            </w:pPr>
            <w:r w:rsidRPr="000B1622">
              <w:rPr>
                <w:rFonts w:eastAsia="Arial"/>
              </w:rPr>
              <w:t>$50 million</w:t>
            </w:r>
            <w:r w:rsidR="00E91FF0" w:rsidRPr="000B1622">
              <w:rPr>
                <w:rFonts w:eastAsia="Arial"/>
              </w:rPr>
              <w:t xml:space="preserve"> research initiative through the MRFF to drive innovation in primary care (MRFF Primary Health Research Plan). </w:t>
            </w:r>
          </w:p>
        </w:tc>
      </w:tr>
      <w:tr w:rsidR="00875682" w:rsidRPr="00EB459A" w14:paraId="32EC2D50" w14:textId="19A65CB3" w:rsidTr="00213760">
        <w:trPr>
          <w:trHeight w:val="2297"/>
        </w:trPr>
        <w:tc>
          <w:tcPr>
            <w:cnfStyle w:val="001000000000" w:firstRow="0" w:lastRow="0" w:firstColumn="1" w:lastColumn="0" w:oddVBand="0" w:evenVBand="0" w:oddHBand="0" w:evenHBand="0" w:firstRowFirstColumn="0" w:firstRowLastColumn="0" w:lastRowFirstColumn="0" w:lastRowLastColumn="0"/>
            <w:tcW w:w="502" w:type="pct"/>
          </w:tcPr>
          <w:p w14:paraId="1FBFC984" w14:textId="5204E4CF" w:rsidR="00936977" w:rsidRPr="000B1622" w:rsidRDefault="00936977" w:rsidP="00EF0712">
            <w:pPr>
              <w:pStyle w:val="Tabletextboldblue"/>
            </w:pPr>
            <w:r w:rsidRPr="000B1622">
              <w:t>Informing the health sector and community about PASC</w:t>
            </w:r>
          </w:p>
        </w:tc>
        <w:tc>
          <w:tcPr>
            <w:tcW w:w="1667" w:type="pct"/>
            <w:gridSpan w:val="4"/>
          </w:tcPr>
          <w:p w14:paraId="347EE5F4" w14:textId="47CE5181" w:rsidR="00936977" w:rsidRPr="000B1622" w:rsidRDefault="34B8E03C"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 xml:space="preserve">Develop </w:t>
            </w:r>
            <w:r w:rsidR="00936977" w:rsidRPr="000B1622">
              <w:t xml:space="preserve">clinical resources for </w:t>
            </w:r>
            <w:r w:rsidR="0001779E" w:rsidRPr="000B1622">
              <w:t xml:space="preserve">PASC and encourage </w:t>
            </w:r>
            <w:r w:rsidR="00936977" w:rsidRPr="000B1622">
              <w:t>review as new evidence emerges.</w:t>
            </w:r>
          </w:p>
          <w:p w14:paraId="27ADD0A6" w14:textId="2CA910C9" w:rsidR="00936977" w:rsidRPr="000B1622" w:rsidRDefault="081548E7"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 xml:space="preserve">Encourage collaboration </w:t>
            </w:r>
            <w:r w:rsidR="00936977" w:rsidRPr="000B1622">
              <w:t>with healthcare providers to develop and distribute additional primary care based PASC resources.</w:t>
            </w:r>
          </w:p>
          <w:p w14:paraId="0DF19480" w14:textId="77777777" w:rsidR="009F49D5" w:rsidRDefault="008E3B04"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 xml:space="preserve">Support </w:t>
            </w:r>
            <w:r w:rsidR="646C99D8" w:rsidRPr="000B1622">
              <w:t xml:space="preserve">engagement </w:t>
            </w:r>
            <w:r w:rsidR="00936977" w:rsidRPr="000B1622">
              <w:t xml:space="preserve">with people with a lived experience of PASC to </w:t>
            </w:r>
          </w:p>
          <w:p w14:paraId="15A83A25" w14:textId="24C0A7C9" w:rsidR="00936977" w:rsidRPr="000B1622"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co-design and distribute resources to the Australian public, including materials that support self-management.</w:t>
            </w:r>
          </w:p>
        </w:tc>
        <w:tc>
          <w:tcPr>
            <w:tcW w:w="1415" w:type="pct"/>
            <w:gridSpan w:val="3"/>
          </w:tcPr>
          <w:p w14:paraId="16AEB264" w14:textId="3EE39F12" w:rsidR="00936977" w:rsidRPr="000B1622"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Availability and revision of PASC clinical guidelines for healthcare providers to ensure best practice management, including clear care escalation pathways for those who require other (non-GP) specialist input.</w:t>
            </w:r>
          </w:p>
          <w:p w14:paraId="4EEA950D" w14:textId="2057754C" w:rsidR="00936977" w:rsidRPr="000B1622"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Improved healthcare provider awareness and understanding of PASC.</w:t>
            </w:r>
          </w:p>
          <w:p w14:paraId="00ED83F6" w14:textId="11100EF8" w:rsidR="00936977" w:rsidRPr="000B1622"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Improved community knowledge and awareness of PASC, including educational resources for patients and their families.</w:t>
            </w:r>
          </w:p>
        </w:tc>
        <w:tc>
          <w:tcPr>
            <w:tcW w:w="1416" w:type="pct"/>
            <w:gridSpan w:val="2"/>
          </w:tcPr>
          <w:p w14:paraId="18769966" w14:textId="0B73BBD0" w:rsidR="00936977" w:rsidRPr="000B1622"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 xml:space="preserve">Contracting the </w:t>
            </w:r>
            <w:r w:rsidR="00A764EB" w:rsidRPr="000B1622">
              <w:t>Royal Australian College of General Practitione</w:t>
            </w:r>
            <w:r w:rsidR="00665519" w:rsidRPr="000B1622">
              <w:t xml:space="preserve">rs </w:t>
            </w:r>
            <w:r w:rsidRPr="000B1622">
              <w:t>to develop clinical care guidelines and a patient resource for managing post COVID-19 symptoms.</w:t>
            </w:r>
          </w:p>
          <w:p w14:paraId="26FF8374" w14:textId="3E431979" w:rsidR="00936977" w:rsidRPr="006C22F1"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 xml:space="preserve">Dissemination of long COVID communication materials </w:t>
            </w:r>
            <w:r w:rsidRPr="006C22F1">
              <w:t xml:space="preserve">through the Department’s website, social </w:t>
            </w:r>
            <w:proofErr w:type="gramStart"/>
            <w:r w:rsidRPr="006C22F1">
              <w:t>media</w:t>
            </w:r>
            <w:proofErr w:type="gramEnd"/>
            <w:r w:rsidRPr="006C22F1">
              <w:t xml:space="preserve"> and other communication channels. </w:t>
            </w:r>
          </w:p>
          <w:p w14:paraId="1E3EFD98" w14:textId="1C63959B" w:rsidR="00936977" w:rsidRPr="000B1622"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6C22F1">
              <w:t xml:space="preserve">Publication of the </w:t>
            </w:r>
            <w:r w:rsidRPr="006C22F1">
              <w:rPr>
                <w:i/>
                <w:iCs/>
              </w:rPr>
              <w:t>Getting help for long COVID</w:t>
            </w:r>
            <w:r w:rsidRPr="006C22F1">
              <w:t xml:space="preserve"> factsheet.</w:t>
            </w:r>
          </w:p>
        </w:tc>
      </w:tr>
      <w:tr w:rsidR="00875682" w:rsidRPr="00EB459A" w14:paraId="3F4E6AAA" w14:textId="71937D64" w:rsidTr="00BF6CFC">
        <w:trPr>
          <w:trHeight w:val="983"/>
        </w:trPr>
        <w:tc>
          <w:tcPr>
            <w:cnfStyle w:val="001000000000" w:firstRow="0" w:lastRow="0" w:firstColumn="1" w:lastColumn="0" w:oddVBand="0" w:evenVBand="0" w:oddHBand="0" w:evenHBand="0" w:firstRowFirstColumn="0" w:firstRowLastColumn="0" w:lastRowFirstColumn="0" w:lastRowLastColumn="0"/>
            <w:tcW w:w="502" w:type="pct"/>
          </w:tcPr>
          <w:p w14:paraId="0EE68AFE" w14:textId="20CAC2C7" w:rsidR="00936977" w:rsidRPr="000B1622" w:rsidRDefault="00936977" w:rsidP="00EF0712">
            <w:pPr>
              <w:pStyle w:val="Tabletextboldblue"/>
            </w:pPr>
            <w:r w:rsidRPr="000B1622">
              <w:t>Supporting research to increase our knowledge of PASC and guide future policy and clinical care</w:t>
            </w:r>
          </w:p>
        </w:tc>
        <w:tc>
          <w:tcPr>
            <w:tcW w:w="1667" w:type="pct"/>
            <w:gridSpan w:val="4"/>
          </w:tcPr>
          <w:p w14:paraId="0E6BDEAA" w14:textId="2A449E75" w:rsidR="00936977" w:rsidRPr="000B1622"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Develop systems with interoperable functionality to support data collection.</w:t>
            </w:r>
          </w:p>
          <w:p w14:paraId="067E47E0" w14:textId="6521AA18" w:rsidR="00936977" w:rsidRPr="000B1622"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Promote consistent data collection, including demographic data relating to priority populations, and improve integration within and between states and territories.</w:t>
            </w:r>
          </w:p>
          <w:p w14:paraId="27ABFA7C" w14:textId="295345FD" w:rsidR="00936977" w:rsidRPr="000B1622"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 xml:space="preserve">Identify priority PASC research areas for </w:t>
            </w:r>
            <w:r w:rsidR="00D95EA8" w:rsidRPr="000B1622">
              <w:t>funding and</w:t>
            </w:r>
            <w:r w:rsidRPr="000B1622">
              <w:t xml:space="preserve"> encourage participatory research. </w:t>
            </w:r>
          </w:p>
          <w:p w14:paraId="4DD437C9" w14:textId="060F0665" w:rsidR="00936977" w:rsidRPr="000B1622"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 xml:space="preserve">Increase the coordination and volume of PASC-related research activities led by Australian-based researchers. </w:t>
            </w:r>
          </w:p>
          <w:p w14:paraId="623348B4" w14:textId="4B8AC58B" w:rsidR="00936977" w:rsidRPr="000B1622" w:rsidRDefault="00936977" w:rsidP="00EF0712">
            <w:pPr>
              <w:pStyle w:val="Tablelistbullet"/>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00B1622">
              <w:t>Regularly review research outcomes to evaluate the suitability of current guidelines and policies, with updates as required.</w:t>
            </w:r>
            <w:r w:rsidRPr="000B1622">
              <w:rPr>
                <w:rFonts w:eastAsia="Arial" w:cs="Arial"/>
                <w:color w:val="000000" w:themeColor="text1"/>
              </w:rPr>
              <w:t xml:space="preserve"> </w:t>
            </w:r>
          </w:p>
        </w:tc>
        <w:tc>
          <w:tcPr>
            <w:tcW w:w="1415" w:type="pct"/>
            <w:gridSpan w:val="3"/>
          </w:tcPr>
          <w:p w14:paraId="457DF306" w14:textId="09750F69" w:rsidR="00936977" w:rsidRPr="000B1622"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 xml:space="preserve">Greater utility of data at the national level for research, </w:t>
            </w:r>
            <w:proofErr w:type="gramStart"/>
            <w:r w:rsidRPr="000B1622">
              <w:t>surveillance</w:t>
            </w:r>
            <w:proofErr w:type="gramEnd"/>
            <w:r w:rsidRPr="000B1622">
              <w:t xml:space="preserve"> and monitoring.</w:t>
            </w:r>
          </w:p>
          <w:p w14:paraId="557578E7" w14:textId="2478F989" w:rsidR="00936977" w:rsidRPr="000B1622"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Improved understanding of the current and future impacts of PASC in Australia, including amongst priority populations</w:t>
            </w:r>
            <w:r w:rsidR="00AB5B90">
              <w:t>.</w:t>
            </w:r>
            <w:r w:rsidRPr="00B652BF">
              <w:rPr>
                <w:sz w:val="20"/>
                <w:szCs w:val="20"/>
                <w:vertAlign w:val="superscript"/>
              </w:rPr>
              <w:t>8</w:t>
            </w:r>
          </w:p>
          <w:p w14:paraId="17C5A1FB" w14:textId="2A745416" w:rsidR="00936977" w:rsidRPr="000B1622"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 xml:space="preserve">New therapeutic approaches to prevent the occurrence of PASC and/or improve health outcomes for individuals with PASC. </w:t>
            </w:r>
          </w:p>
          <w:p w14:paraId="6B5537E6" w14:textId="0DA16D46" w:rsidR="00936977" w:rsidRPr="00766CF7"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Translation of research outcomes and lived experiences into clinical guidance and policy to address the needs of all people with PASC, including priority populations.</w:t>
            </w:r>
          </w:p>
        </w:tc>
        <w:tc>
          <w:tcPr>
            <w:tcW w:w="1416" w:type="pct"/>
            <w:gridSpan w:val="2"/>
          </w:tcPr>
          <w:p w14:paraId="066D3492" w14:textId="496623A2" w:rsidR="00936977" w:rsidRPr="000B1622" w:rsidRDefault="00936977" w:rsidP="00EF0712">
            <w:pPr>
              <w:pStyle w:val="Tablelistbullet"/>
              <w:cnfStyle w:val="000000000000" w:firstRow="0" w:lastRow="0" w:firstColumn="0" w:lastColumn="0" w:oddVBand="0" w:evenVBand="0" w:oddHBand="0" w:evenHBand="0" w:firstRowFirstColumn="0" w:firstRowLastColumn="0" w:lastRowFirstColumn="0" w:lastRowLastColumn="0"/>
            </w:pPr>
            <w:r w:rsidRPr="000B1622">
              <w:t>Investments in PASC research include:</w:t>
            </w:r>
          </w:p>
          <w:p w14:paraId="26868A46" w14:textId="65670633" w:rsidR="00936977" w:rsidRPr="000B1622" w:rsidRDefault="00936977" w:rsidP="00993D99">
            <w:pPr>
              <w:pStyle w:val="Tablelistbulletlevel2"/>
              <w:cnfStyle w:val="000000000000" w:firstRow="0" w:lastRow="0" w:firstColumn="0" w:lastColumn="0" w:oddVBand="0" w:evenVBand="0" w:oddHBand="0" w:evenHBand="0" w:firstRowFirstColumn="0" w:firstRowLastColumn="0" w:lastRowFirstColumn="0" w:lastRowLastColumn="0"/>
            </w:pPr>
            <w:r w:rsidRPr="000B1622">
              <w:t>$50 million from the MRFF for PASC research over four years from 2023-24</w:t>
            </w:r>
            <w:r w:rsidR="00E91FF0" w:rsidRPr="000B1622">
              <w:t xml:space="preserve"> (MRFF PASC Research Plan)</w:t>
            </w:r>
            <w:r w:rsidRPr="000B1622">
              <w:t xml:space="preserve"> </w:t>
            </w:r>
          </w:p>
          <w:p w14:paraId="16901FE4" w14:textId="77777777" w:rsidR="00B50AEE" w:rsidRDefault="00936977" w:rsidP="00993D99">
            <w:pPr>
              <w:pStyle w:val="Tablelistbulletlevel2"/>
              <w:cnfStyle w:val="000000000000" w:firstRow="0" w:lastRow="0" w:firstColumn="0" w:lastColumn="0" w:oddVBand="0" w:evenVBand="0" w:oddHBand="0" w:evenHBand="0" w:firstRowFirstColumn="0" w:firstRowLastColumn="0" w:lastRowFirstColumn="0" w:lastRowLastColumn="0"/>
            </w:pPr>
            <w:r w:rsidRPr="000B1622">
              <w:t xml:space="preserve">$13 million from the MRFF for research into the </w:t>
            </w:r>
          </w:p>
          <w:p w14:paraId="127372FA" w14:textId="094E2939" w:rsidR="00936977" w:rsidRPr="000B1622" w:rsidRDefault="00936977" w:rsidP="00993D99">
            <w:pPr>
              <w:pStyle w:val="Tablelistbulletlevel2"/>
              <w:cnfStyle w:val="000000000000" w:firstRow="0" w:lastRow="0" w:firstColumn="0" w:lastColumn="0" w:oddVBand="0" w:evenVBand="0" w:oddHBand="0" w:evenHBand="0" w:firstRowFirstColumn="0" w:firstRowLastColumn="0" w:lastRowFirstColumn="0" w:lastRowLastColumn="0"/>
            </w:pPr>
            <w:r w:rsidRPr="000B1622">
              <w:t>long-term effects of COVID-19 between 2020 and 2021</w:t>
            </w:r>
          </w:p>
          <w:p w14:paraId="720EA899" w14:textId="77777777" w:rsidR="00936977" w:rsidRPr="000B1622" w:rsidRDefault="00936977" w:rsidP="00993D99">
            <w:pPr>
              <w:pStyle w:val="Tablelistbulletlevel2"/>
              <w:cnfStyle w:val="000000000000" w:firstRow="0" w:lastRow="0" w:firstColumn="0" w:lastColumn="0" w:oddVBand="0" w:evenVBand="0" w:oddHBand="0" w:evenHBand="0" w:firstRowFirstColumn="0" w:firstRowLastColumn="0" w:lastRowFirstColumn="0" w:lastRowLastColumn="0"/>
            </w:pPr>
            <w:r w:rsidRPr="000B1622">
              <w:t>$1.6 million from the NHMRC in 2021</w:t>
            </w:r>
          </w:p>
          <w:p w14:paraId="423E68FA" w14:textId="7AB0BB58" w:rsidR="00936977" w:rsidRPr="000B1622" w:rsidRDefault="00936977" w:rsidP="00993D99">
            <w:pPr>
              <w:pStyle w:val="Tablelistbulletlevel2"/>
              <w:cnfStyle w:val="000000000000" w:firstRow="0" w:lastRow="0" w:firstColumn="0" w:lastColumn="0" w:oddVBand="0" w:evenVBand="0" w:oddHBand="0" w:evenHBand="0" w:firstRowFirstColumn="0" w:firstRowLastColumn="0" w:lastRowFirstColumn="0" w:lastRowLastColumn="0"/>
            </w:pPr>
            <w:r w:rsidRPr="000B1622">
              <w:t>$5 million to the Australian Partnership for Preparedness Research on Infectious Disease Emergencies Network in 2022</w:t>
            </w:r>
            <w:r w:rsidR="00D95EA8" w:rsidRPr="000B1622">
              <w:t xml:space="preserve">. </w:t>
            </w:r>
          </w:p>
        </w:tc>
      </w:tr>
      <w:bookmarkEnd w:id="35"/>
    </w:tbl>
    <w:p w14:paraId="02719027" w14:textId="77777777" w:rsidR="00B41837" w:rsidRDefault="00B41837" w:rsidP="00B41837">
      <w:pPr>
        <w:rPr>
          <w:rFonts w:cs="Arial"/>
        </w:rPr>
        <w:sectPr w:rsidR="00B41837" w:rsidSect="0069799A">
          <w:pgSz w:w="23811" w:h="16838" w:orient="landscape" w:code="8"/>
          <w:pgMar w:top="851" w:right="1247" w:bottom="907" w:left="1247" w:header="709" w:footer="709" w:gutter="0"/>
          <w:cols w:space="708"/>
          <w:docGrid w:linePitch="360"/>
        </w:sectPr>
      </w:pPr>
    </w:p>
    <w:p w14:paraId="4284BE41" w14:textId="63D83BD7" w:rsidR="00DE6375" w:rsidRDefault="00DE6375" w:rsidP="00DE6375">
      <w:pPr>
        <w:pStyle w:val="Heading1"/>
        <w:spacing w:before="0" w:after="120" w:line="276" w:lineRule="auto"/>
      </w:pPr>
      <w:bookmarkStart w:id="36" w:name="_Our_ongoing_COVID-19"/>
      <w:bookmarkStart w:id="37" w:name="_Toc136588410"/>
      <w:bookmarkStart w:id="38" w:name="_Toc137202823"/>
      <w:bookmarkStart w:id="39" w:name="_Toc157771522"/>
      <w:bookmarkEnd w:id="36"/>
      <w:r>
        <w:lastRenderedPageBreak/>
        <w:t>Our ongoing COVID-19 response</w:t>
      </w:r>
      <w:bookmarkEnd w:id="37"/>
      <w:bookmarkEnd w:id="38"/>
      <w:bookmarkEnd w:id="39"/>
    </w:p>
    <w:p w14:paraId="7983A5EA" w14:textId="205E4DDE" w:rsidR="00DE6375" w:rsidRPr="00DE6375" w:rsidRDefault="5EB4FDBB" w:rsidP="006C6B86">
      <w:pPr>
        <w:rPr>
          <w:lang w:val="en-US"/>
        </w:rPr>
      </w:pPr>
      <w:r w:rsidRPr="1DF03370">
        <w:rPr>
          <w:lang w:val="en-US"/>
        </w:rPr>
        <w:t>The Government will continue to support initiatives t</w:t>
      </w:r>
      <w:r w:rsidR="5BB4B822" w:rsidRPr="1DF03370">
        <w:rPr>
          <w:lang w:val="en-US"/>
        </w:rPr>
        <w:t xml:space="preserve">hat </w:t>
      </w:r>
      <w:r w:rsidRPr="1DF03370">
        <w:rPr>
          <w:lang w:val="en-US"/>
        </w:rPr>
        <w:t xml:space="preserve">reduce the incidence and severity of COVID-19 infection, and through this the number of people who develop PASC. These </w:t>
      </w:r>
      <w:r w:rsidRPr="00261EE5">
        <w:t>include</w:t>
      </w:r>
      <w:r w:rsidRPr="1DF03370">
        <w:rPr>
          <w:lang w:val="en-US"/>
        </w:rPr>
        <w:t xml:space="preserve"> </w:t>
      </w:r>
      <w:r w:rsidRPr="00C87459">
        <w:t>initiatives</w:t>
      </w:r>
      <w:r w:rsidRPr="1DF03370">
        <w:rPr>
          <w:lang w:val="en-US"/>
        </w:rPr>
        <w:t xml:space="preserve"> to improve:</w:t>
      </w:r>
    </w:p>
    <w:p w14:paraId="4A810E33" w14:textId="77777777" w:rsidR="00DE6375" w:rsidRPr="00DE6375" w:rsidRDefault="00DE6375" w:rsidP="006C6B86">
      <w:pPr>
        <w:pStyle w:val="ListBullet"/>
      </w:pPr>
      <w:r w:rsidRPr="00DE6375">
        <w:rPr>
          <w:lang w:val="en-US"/>
        </w:rPr>
        <w:t>Vaccination and booster rates, particularly amongst priority populations.</w:t>
      </w:r>
    </w:p>
    <w:p w14:paraId="540A8EAC" w14:textId="3E580D5F" w:rsidR="00DE6375" w:rsidRPr="00DE6375" w:rsidRDefault="00DE6375" w:rsidP="006C6B86">
      <w:pPr>
        <w:pStyle w:val="ListBullet"/>
        <w:rPr>
          <w:lang w:val="en-US"/>
        </w:rPr>
      </w:pPr>
      <w:r w:rsidRPr="00DE6375">
        <w:rPr>
          <w:lang w:val="en-US"/>
        </w:rPr>
        <w:t xml:space="preserve">Community understanding of protective </w:t>
      </w:r>
      <w:proofErr w:type="spellStart"/>
      <w:r w:rsidRPr="00DE6375">
        <w:rPr>
          <w:lang w:val="en-US"/>
        </w:rPr>
        <w:t>behaviours</w:t>
      </w:r>
      <w:proofErr w:type="spellEnd"/>
      <w:r w:rsidRPr="00DE6375">
        <w:rPr>
          <w:lang w:val="en-US"/>
        </w:rPr>
        <w:t xml:space="preserve"> and public health measures that limit the spread of COVID-19 through communication campaigns and targeted resources</w:t>
      </w:r>
      <w:r w:rsidR="00D95EA8" w:rsidRPr="00DE6375">
        <w:rPr>
          <w:lang w:val="en-US"/>
        </w:rPr>
        <w:t xml:space="preserve">. </w:t>
      </w:r>
    </w:p>
    <w:p w14:paraId="341035A6" w14:textId="226B3870" w:rsidR="00DE6375" w:rsidRPr="00DE6375" w:rsidRDefault="5EB4FDBB" w:rsidP="006C6B86">
      <w:pPr>
        <w:pStyle w:val="ListBullet"/>
        <w:rPr>
          <w:lang w:val="en-US"/>
        </w:rPr>
      </w:pPr>
      <w:r w:rsidRPr="1DF03370">
        <w:rPr>
          <w:lang w:val="en-US"/>
        </w:rPr>
        <w:t>Efforts across all levels of Government to review and reform ventilation</w:t>
      </w:r>
      <w:r w:rsidR="31BE75AE" w:rsidRPr="1DF03370">
        <w:rPr>
          <w:lang w:val="en-US"/>
        </w:rPr>
        <w:t xml:space="preserve"> and air quality</w:t>
      </w:r>
      <w:r w:rsidRPr="1DF03370">
        <w:rPr>
          <w:lang w:val="en-US"/>
        </w:rPr>
        <w:t xml:space="preserve"> standards. </w:t>
      </w:r>
    </w:p>
    <w:p w14:paraId="6CE700FC" w14:textId="5606F455" w:rsidR="00DE6375" w:rsidRPr="00DE6375" w:rsidRDefault="00E90574" w:rsidP="006C6B86">
      <w:pPr>
        <w:rPr>
          <w:lang w:val="en-US"/>
        </w:rPr>
      </w:pPr>
      <w:r w:rsidRPr="00E90574">
        <w:rPr>
          <w:lang w:val="en-US"/>
        </w:rPr>
        <w:t>Secondary prevention includes interventions for people with COVID-19 to prevent the development of PASC. Building PASC research capacity will support ongoing efforts to identify effective secondary prevention measures</w:t>
      </w:r>
      <w:r>
        <w:rPr>
          <w:lang w:val="en-US"/>
        </w:rPr>
        <w:t>. T</w:t>
      </w:r>
      <w:r w:rsidRPr="00E90574">
        <w:rPr>
          <w:lang w:val="en-US"/>
        </w:rPr>
        <w:t>his may include research into the effectiveness of using antivirals to prevent the development of PASC.</w:t>
      </w:r>
      <w:r>
        <w:rPr>
          <w:lang w:val="en-US"/>
        </w:rPr>
        <w:t xml:space="preserve"> </w:t>
      </w:r>
      <w:r w:rsidR="00DE6375" w:rsidRPr="00DE6375">
        <w:rPr>
          <w:lang w:val="en-US"/>
        </w:rPr>
        <w:t>The Department will continue to review evidence on secondary prevention as it becomes available</w:t>
      </w:r>
      <w:r w:rsidR="00D95EA8" w:rsidRPr="00DE6375">
        <w:rPr>
          <w:lang w:val="en-US"/>
        </w:rPr>
        <w:t>.</w:t>
      </w:r>
    </w:p>
    <w:p w14:paraId="751DC206" w14:textId="30002500" w:rsidR="00DE6375" w:rsidRPr="00C4131B" w:rsidRDefault="00DE6375" w:rsidP="006C6B86">
      <w:r w:rsidRPr="00DE6375">
        <w:t xml:space="preserve">For more information about the Government’s ongoing COVID-19 response, please </w:t>
      </w:r>
      <w:r w:rsidRPr="00C4131B">
        <w:t>see:</w:t>
      </w:r>
    </w:p>
    <w:p w14:paraId="625C29F3" w14:textId="7BFBB584" w:rsidR="00C4131B" w:rsidRPr="00C4131B" w:rsidRDefault="13DFEB8A" w:rsidP="0004064B">
      <w:pPr>
        <w:pStyle w:val="ListBullet3"/>
        <w:rPr>
          <w:rFonts w:cs="Arial"/>
        </w:rPr>
      </w:pPr>
      <w:r w:rsidRPr="074D8936">
        <w:t>ATAGI clinical guidance for COVID-19 vaccine providers</w:t>
      </w:r>
      <w:r w:rsidR="3397537B" w:rsidRPr="074D8936">
        <w:t xml:space="preserve"> </w:t>
      </w:r>
      <w:hyperlink r:id="rId59">
        <w:r w:rsidR="3397537B" w:rsidRPr="074D8936">
          <w:rPr>
            <w:rStyle w:val="Hyperlink"/>
            <w:rFonts w:cs="Arial"/>
          </w:rPr>
          <w:t>https://www.health.gov.au/our-work/covid-19-vaccines/advice-for-providers/clinical-guidance</w:t>
        </w:r>
      </w:hyperlink>
      <w:r w:rsidR="3397537B" w:rsidRPr="074D8936">
        <w:rPr>
          <w:rFonts w:cs="Arial"/>
        </w:rPr>
        <w:t xml:space="preserve"> </w:t>
      </w:r>
    </w:p>
    <w:p w14:paraId="6C17B98E" w14:textId="48801C5A" w:rsidR="00DE6375" w:rsidRPr="0004064B" w:rsidRDefault="3397537B" w:rsidP="0004064B">
      <w:pPr>
        <w:pStyle w:val="ListBullet3"/>
        <w:rPr>
          <w:rFonts w:cs="Arial"/>
        </w:rPr>
      </w:pPr>
      <w:r w:rsidRPr="074D8936">
        <w:t xml:space="preserve">Australian Health Sector Emergency Response Plan for Novel Coronavirus (COVID-19) </w:t>
      </w:r>
      <w:hyperlink r:id="rId60" w:history="1">
        <w:r w:rsidR="0004064B" w:rsidRPr="00F44DFA">
          <w:rPr>
            <w:rStyle w:val="Hyperlink"/>
          </w:rPr>
          <w:t>https://www.health.gov.au/resources/publications/australian-health-sector-emergency-response-plan-for-novel-coronavirus-covid-19?language=en</w:t>
        </w:r>
      </w:hyperlink>
      <w:r w:rsidR="00C4131B" w:rsidRPr="0004064B">
        <w:t xml:space="preserve"> </w:t>
      </w:r>
    </w:p>
    <w:p w14:paraId="1D6877A7" w14:textId="0B060455" w:rsidR="00C4131B" w:rsidRPr="0004064B" w:rsidRDefault="3397537B" w:rsidP="0004064B">
      <w:pPr>
        <w:pStyle w:val="ListBullet3"/>
        <w:rPr>
          <w:rFonts w:cs="Arial"/>
        </w:rPr>
      </w:pPr>
      <w:r w:rsidRPr="074D8936">
        <w:t xml:space="preserve">National COVID-19 Health Management Plan for 2023 </w:t>
      </w:r>
      <w:r w:rsidR="0004064B">
        <w:t xml:space="preserve"> </w:t>
      </w:r>
      <w:hyperlink r:id="rId61" w:history="1">
        <w:r w:rsidR="0004064B" w:rsidRPr="00F44DFA">
          <w:rPr>
            <w:rStyle w:val="Hyperlink"/>
          </w:rPr>
          <w:t>https://www.health.gov.au/resources/publications/national-covid-19-health-management-plan-for-2023?language=en</w:t>
        </w:r>
      </w:hyperlink>
    </w:p>
    <w:p w14:paraId="5FDB3CF3" w14:textId="257EFB75" w:rsidR="00C4131B" w:rsidRPr="0004064B" w:rsidRDefault="64C81998" w:rsidP="0004064B">
      <w:pPr>
        <w:pStyle w:val="ListBullet3"/>
        <w:rPr>
          <w:rFonts w:cs="Arial"/>
        </w:rPr>
      </w:pPr>
      <w:r w:rsidRPr="074D8936">
        <w:t>O</w:t>
      </w:r>
      <w:r w:rsidR="3397537B" w:rsidRPr="074D8936">
        <w:t xml:space="preserve">ral COVID-19 treatments </w:t>
      </w:r>
      <w:hyperlink r:id="rId62" w:history="1">
        <w:r w:rsidR="0004064B" w:rsidRPr="00F44DFA">
          <w:rPr>
            <w:rStyle w:val="Hyperlink"/>
          </w:rPr>
          <w:t>https://www.health.gov.au/health-alerts/covid-19/treatments/eligibility</w:t>
        </w:r>
      </w:hyperlink>
      <w:r w:rsidR="00C4131B" w:rsidRPr="0004064B">
        <w:t xml:space="preserve"> </w:t>
      </w:r>
    </w:p>
    <w:p w14:paraId="74477B2E" w14:textId="2E9B1F84" w:rsidR="00DE6375" w:rsidRPr="0004064B" w:rsidRDefault="3397537B" w:rsidP="0004064B">
      <w:pPr>
        <w:pStyle w:val="ListBullet3"/>
      </w:pPr>
      <w:r w:rsidRPr="074D8936">
        <w:t>Australian Commission on</w:t>
      </w:r>
      <w:r w:rsidR="0A320891" w:rsidRPr="074D8936">
        <w:t xml:space="preserve"> Safety and Quality </w:t>
      </w:r>
      <w:r w:rsidRPr="074D8936">
        <w:t xml:space="preserve">in </w:t>
      </w:r>
      <w:r w:rsidR="64C81998" w:rsidRPr="074D8936">
        <w:t>H</w:t>
      </w:r>
      <w:r w:rsidRPr="074D8936">
        <w:t>ealthcare</w:t>
      </w:r>
      <w:r w:rsidR="0004064B">
        <w:t xml:space="preserve"> </w:t>
      </w:r>
      <w:hyperlink r:id="rId63" w:history="1">
        <w:r w:rsidR="0004064B" w:rsidRPr="00F44DFA">
          <w:rPr>
            <w:rStyle w:val="Hyperlink"/>
          </w:rPr>
          <w:t>https://www.safetyandquality.gov.au/</w:t>
        </w:r>
      </w:hyperlink>
    </w:p>
    <w:p w14:paraId="151BBAD2" w14:textId="77777777" w:rsidR="00C4131B" w:rsidRPr="00C4131B" w:rsidRDefault="3397537B" w:rsidP="0004064B">
      <w:pPr>
        <w:pStyle w:val="ListBullet3"/>
        <w:rPr>
          <w:rFonts w:cs="Arial"/>
        </w:rPr>
      </w:pPr>
      <w:r w:rsidRPr="074D8936">
        <w:t xml:space="preserve">Improving ventilation in indoor workplaces: COVID-19 </w:t>
      </w:r>
      <w:hyperlink r:id="rId64">
        <w:r w:rsidRPr="074D8936">
          <w:rPr>
            <w:rStyle w:val="Hyperlink"/>
          </w:rPr>
          <w:t>https://covid19.swa.gov.au/doc/improving-ventilation-indoor-workplaces-covid-19</w:t>
        </w:r>
      </w:hyperlink>
      <w:r w:rsidRPr="074D8936">
        <w:t xml:space="preserve"> </w:t>
      </w:r>
    </w:p>
    <w:p w14:paraId="2FB8558D" w14:textId="2018F8F7" w:rsidR="00DE6375" w:rsidRPr="0004064B" w:rsidRDefault="3397537B" w:rsidP="0004064B">
      <w:pPr>
        <w:pStyle w:val="ListBullet3"/>
        <w:rPr>
          <w:rFonts w:cs="Arial"/>
        </w:rPr>
      </w:pPr>
      <w:r w:rsidRPr="074D8936">
        <w:t xml:space="preserve">Local state and territory health departments </w:t>
      </w:r>
      <w:hyperlink r:id="rId65" w:history="1">
        <w:r w:rsidR="00EF0712" w:rsidRPr="00F44DFA">
          <w:rPr>
            <w:rStyle w:val="Hyperlink"/>
          </w:rPr>
          <w:t>https://www.health.gov.au/about-us/contact-us/local-state-and-territory-health-departments</w:t>
        </w:r>
      </w:hyperlink>
      <w:r w:rsidR="00C4131B" w:rsidRPr="0004064B">
        <w:t xml:space="preserve"> </w:t>
      </w:r>
    </w:p>
    <w:p w14:paraId="4D774EE0" w14:textId="4542198D" w:rsidR="00BB79B6" w:rsidRDefault="00BB79B6" w:rsidP="006C6B86">
      <w:pPr>
        <w:pStyle w:val="Heading1"/>
        <w:spacing w:before="0" w:after="120" w:line="276" w:lineRule="auto"/>
      </w:pPr>
      <w:bookmarkStart w:id="40" w:name="_Toc157771523"/>
      <w:r>
        <w:lastRenderedPageBreak/>
        <w:t>Abbreviations</w:t>
      </w:r>
      <w:bookmarkEnd w:id="40"/>
    </w:p>
    <w:tbl>
      <w:tblPr>
        <w:tblStyle w:val="DepartmentofHealthtable"/>
        <w:tblW w:w="0" w:type="auto"/>
        <w:tblLook w:val="04A0" w:firstRow="1" w:lastRow="0" w:firstColumn="1" w:lastColumn="0" w:noHBand="0" w:noVBand="1"/>
      </w:tblPr>
      <w:tblGrid>
        <w:gridCol w:w="1683"/>
        <w:gridCol w:w="7387"/>
      </w:tblGrid>
      <w:tr w:rsidR="006C6B86" w14:paraId="1172F8BF" w14:textId="77777777" w:rsidTr="003F231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17" w:type="dxa"/>
          </w:tcPr>
          <w:p w14:paraId="2F325E26" w14:textId="4BA5FEC9" w:rsidR="006C6B86" w:rsidRPr="00FF691B" w:rsidRDefault="006C6B86" w:rsidP="003F231A">
            <w:pPr>
              <w:pStyle w:val="TableofAuthorities"/>
              <w:rPr>
                <w:b w:val="0"/>
              </w:rPr>
            </w:pPr>
            <w:r w:rsidRPr="006C6B86">
              <w:t>Abbreviations</w:t>
            </w:r>
          </w:p>
        </w:tc>
        <w:tc>
          <w:tcPr>
            <w:tcW w:w="7453" w:type="dxa"/>
          </w:tcPr>
          <w:p w14:paraId="3A52B192" w14:textId="206B1FBD" w:rsidR="006C6B86" w:rsidRPr="00FF691B" w:rsidRDefault="006C6B86" w:rsidP="003F231A">
            <w:pPr>
              <w:pStyle w:val="TableofAuthorities"/>
              <w:cnfStyle w:val="100000000000" w:firstRow="1" w:lastRow="0" w:firstColumn="0" w:lastColumn="0" w:oddVBand="0" w:evenVBand="0" w:oddHBand="0" w:evenHBand="0" w:firstRowFirstColumn="0" w:firstRowLastColumn="0" w:lastRowFirstColumn="0" w:lastRowLastColumn="0"/>
            </w:pPr>
            <w:r>
              <w:t>Descriptions</w:t>
            </w:r>
          </w:p>
        </w:tc>
      </w:tr>
      <w:tr w:rsidR="00B63A68" w14:paraId="27EE9143" w14:textId="77777777" w:rsidTr="003F2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tcPr>
          <w:p w14:paraId="1049E175" w14:textId="77777777" w:rsidR="00B63A68" w:rsidRPr="00FF691B" w:rsidRDefault="00B63A68" w:rsidP="00C37DDD">
            <w:pPr>
              <w:spacing w:after="160" w:line="259" w:lineRule="auto"/>
              <w:rPr>
                <w:rFonts w:cs="Arial"/>
                <w:b/>
                <w:bCs/>
              </w:rPr>
            </w:pPr>
            <w:r w:rsidRPr="00FF691B">
              <w:rPr>
                <w:rFonts w:cs="Arial"/>
                <w:b/>
                <w:bCs/>
              </w:rPr>
              <w:t>AIHW</w:t>
            </w:r>
          </w:p>
        </w:tc>
        <w:tc>
          <w:tcPr>
            <w:tcW w:w="7453" w:type="dxa"/>
          </w:tcPr>
          <w:p w14:paraId="7D5B057D" w14:textId="77777777" w:rsidR="00B63A68" w:rsidRPr="00FF691B" w:rsidRDefault="00B63A68" w:rsidP="00C37DDD">
            <w:pPr>
              <w:cnfStyle w:val="000000100000" w:firstRow="0" w:lastRow="0" w:firstColumn="0" w:lastColumn="0" w:oddVBand="0" w:evenVBand="0" w:oddHBand="1" w:evenHBand="0" w:firstRowFirstColumn="0" w:firstRowLastColumn="0" w:lastRowFirstColumn="0" w:lastRowLastColumn="0"/>
              <w:rPr>
                <w:rFonts w:cs="Arial"/>
              </w:rPr>
            </w:pPr>
            <w:r w:rsidRPr="00FF691B">
              <w:rPr>
                <w:rFonts w:cs="Arial"/>
              </w:rPr>
              <w:t>Australian Institute of Health and Welfare</w:t>
            </w:r>
          </w:p>
        </w:tc>
      </w:tr>
      <w:tr w:rsidR="00B63A68" w14:paraId="6D08BF07" w14:textId="77777777" w:rsidTr="003F23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tcPr>
          <w:p w14:paraId="06476CC4" w14:textId="77777777" w:rsidR="00B63A68" w:rsidRPr="00FF691B" w:rsidRDefault="00B63A68" w:rsidP="00C37DDD">
            <w:pPr>
              <w:spacing w:after="160" w:line="259" w:lineRule="auto"/>
              <w:rPr>
                <w:rFonts w:cs="Arial"/>
                <w:b/>
                <w:bCs/>
              </w:rPr>
            </w:pPr>
            <w:r w:rsidRPr="00FF691B">
              <w:rPr>
                <w:rFonts w:cs="Arial"/>
                <w:b/>
                <w:bCs/>
              </w:rPr>
              <w:t>APPRISE</w:t>
            </w:r>
          </w:p>
        </w:tc>
        <w:tc>
          <w:tcPr>
            <w:tcW w:w="7453" w:type="dxa"/>
          </w:tcPr>
          <w:p w14:paraId="77D97920" w14:textId="27ED3750" w:rsidR="00B63A68" w:rsidRPr="00FF691B" w:rsidRDefault="00B63A68" w:rsidP="00C37DDD">
            <w:pPr>
              <w:cnfStyle w:val="000000010000" w:firstRow="0" w:lastRow="0" w:firstColumn="0" w:lastColumn="0" w:oddVBand="0" w:evenVBand="0" w:oddHBand="0" w:evenHBand="1" w:firstRowFirstColumn="0" w:firstRowLastColumn="0" w:lastRowFirstColumn="0" w:lastRowLastColumn="0"/>
              <w:rPr>
                <w:rFonts w:cs="Arial"/>
              </w:rPr>
            </w:pPr>
            <w:r w:rsidRPr="00FF691B">
              <w:rPr>
                <w:rFonts w:cs="Arial"/>
              </w:rPr>
              <w:t>Australian Partnership for Preparedness Research on Infectious Disease Emergencies</w:t>
            </w:r>
          </w:p>
        </w:tc>
      </w:tr>
      <w:tr w:rsidR="00B63A68" w14:paraId="12A498B3" w14:textId="77777777" w:rsidTr="003F2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tcPr>
          <w:p w14:paraId="59633D65" w14:textId="657E4044" w:rsidR="00B63A68" w:rsidRPr="00FF691B" w:rsidRDefault="00B63A68" w:rsidP="00C37DDD">
            <w:pPr>
              <w:rPr>
                <w:rFonts w:cs="Arial"/>
                <w:b/>
                <w:bCs/>
              </w:rPr>
            </w:pPr>
            <w:r>
              <w:rPr>
                <w:rFonts w:cs="Arial"/>
                <w:b/>
                <w:bCs/>
              </w:rPr>
              <w:t>ATAGI</w:t>
            </w:r>
          </w:p>
        </w:tc>
        <w:tc>
          <w:tcPr>
            <w:tcW w:w="7453" w:type="dxa"/>
          </w:tcPr>
          <w:p w14:paraId="4F372C20" w14:textId="6D4FE071" w:rsidR="00E4514B" w:rsidRPr="00FF691B" w:rsidRDefault="00E4514B" w:rsidP="00C37DDD">
            <w:pPr>
              <w:cnfStyle w:val="000000100000" w:firstRow="0" w:lastRow="0" w:firstColumn="0" w:lastColumn="0" w:oddVBand="0" w:evenVBand="0" w:oddHBand="1" w:evenHBand="0" w:firstRowFirstColumn="0" w:firstRowLastColumn="0" w:lastRowFirstColumn="0" w:lastRowLastColumn="0"/>
              <w:rPr>
                <w:rFonts w:cs="Arial"/>
              </w:rPr>
            </w:pPr>
            <w:r w:rsidRPr="00E4514B">
              <w:rPr>
                <w:rFonts w:cs="Arial"/>
              </w:rPr>
              <w:t>Australian Technical Advisory Group on Immunisation</w:t>
            </w:r>
          </w:p>
        </w:tc>
      </w:tr>
      <w:tr w:rsidR="00B63A68" w14:paraId="51933384" w14:textId="77777777" w:rsidTr="003F23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tcPr>
          <w:p w14:paraId="610D9103" w14:textId="77777777" w:rsidR="00B63A68" w:rsidRPr="00FF691B" w:rsidRDefault="00B63A68" w:rsidP="00C37DDD">
            <w:pPr>
              <w:spacing w:after="160" w:line="259" w:lineRule="auto"/>
              <w:rPr>
                <w:rFonts w:cs="Arial"/>
                <w:b/>
                <w:bCs/>
              </w:rPr>
            </w:pPr>
            <w:r w:rsidRPr="00FF691B">
              <w:rPr>
                <w:rFonts w:cs="Arial"/>
                <w:b/>
                <w:bCs/>
              </w:rPr>
              <w:t>CDC</w:t>
            </w:r>
          </w:p>
        </w:tc>
        <w:tc>
          <w:tcPr>
            <w:tcW w:w="7453" w:type="dxa"/>
          </w:tcPr>
          <w:p w14:paraId="60810B16" w14:textId="77777777" w:rsidR="00B63A68" w:rsidRPr="00FF691B" w:rsidRDefault="00B63A68" w:rsidP="00C37DDD">
            <w:pPr>
              <w:cnfStyle w:val="000000010000" w:firstRow="0" w:lastRow="0" w:firstColumn="0" w:lastColumn="0" w:oddVBand="0" w:evenVBand="0" w:oddHBand="0" w:evenHBand="1" w:firstRowFirstColumn="0" w:firstRowLastColumn="0" w:lastRowFirstColumn="0" w:lastRowLastColumn="0"/>
              <w:rPr>
                <w:rFonts w:cs="Arial"/>
              </w:rPr>
            </w:pPr>
            <w:r w:rsidRPr="00FF691B">
              <w:rPr>
                <w:rFonts w:cs="Arial"/>
              </w:rPr>
              <w:t>Centre for Disease Control</w:t>
            </w:r>
          </w:p>
        </w:tc>
      </w:tr>
      <w:tr w:rsidR="009D4BCB" w14:paraId="17D1BFD4" w14:textId="77777777" w:rsidTr="003F2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tcPr>
          <w:p w14:paraId="1BFD6848" w14:textId="691631BF" w:rsidR="009D4BCB" w:rsidRPr="00FF691B" w:rsidRDefault="009D4BCB" w:rsidP="00C37DDD">
            <w:pPr>
              <w:rPr>
                <w:rFonts w:cs="Arial"/>
                <w:b/>
                <w:bCs/>
              </w:rPr>
            </w:pPr>
            <w:r>
              <w:rPr>
                <w:rFonts w:cs="Arial"/>
                <w:b/>
                <w:bCs/>
              </w:rPr>
              <w:t>COVID-19</w:t>
            </w:r>
          </w:p>
        </w:tc>
        <w:tc>
          <w:tcPr>
            <w:tcW w:w="7453" w:type="dxa"/>
          </w:tcPr>
          <w:p w14:paraId="63964B40" w14:textId="4E097F66" w:rsidR="009D4BCB" w:rsidRPr="00FF691B" w:rsidRDefault="009D4BCB" w:rsidP="00C37DDD">
            <w:pPr>
              <w:cnfStyle w:val="000000100000" w:firstRow="0" w:lastRow="0" w:firstColumn="0" w:lastColumn="0" w:oddVBand="0" w:evenVBand="0" w:oddHBand="1" w:evenHBand="0" w:firstRowFirstColumn="0" w:firstRowLastColumn="0" w:lastRowFirstColumn="0" w:lastRowLastColumn="0"/>
              <w:rPr>
                <w:rFonts w:cs="Arial"/>
              </w:rPr>
            </w:pPr>
            <w:r>
              <w:rPr>
                <w:rFonts w:cs="Arial"/>
              </w:rPr>
              <w:t>Coronavirus Disease</w:t>
            </w:r>
          </w:p>
        </w:tc>
      </w:tr>
      <w:tr w:rsidR="00B63A68" w14:paraId="40CFC381" w14:textId="77777777" w:rsidTr="003F23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tcPr>
          <w:p w14:paraId="172C37B5" w14:textId="77777777" w:rsidR="00B63A68" w:rsidRPr="00FF691B" w:rsidRDefault="00B63A68" w:rsidP="00C37DDD">
            <w:pPr>
              <w:spacing w:after="160" w:line="259" w:lineRule="auto"/>
              <w:rPr>
                <w:rFonts w:cs="Arial"/>
                <w:b/>
                <w:bCs/>
              </w:rPr>
            </w:pPr>
            <w:r w:rsidRPr="00FF691B">
              <w:rPr>
                <w:rFonts w:cs="Arial"/>
                <w:b/>
                <w:bCs/>
              </w:rPr>
              <w:t>GP</w:t>
            </w:r>
          </w:p>
        </w:tc>
        <w:tc>
          <w:tcPr>
            <w:tcW w:w="7453" w:type="dxa"/>
          </w:tcPr>
          <w:p w14:paraId="1661CBAF" w14:textId="77777777" w:rsidR="00B63A68" w:rsidRPr="00FF691B" w:rsidRDefault="00B63A68" w:rsidP="00C37DDD">
            <w:pPr>
              <w:cnfStyle w:val="000000010000" w:firstRow="0" w:lastRow="0" w:firstColumn="0" w:lastColumn="0" w:oddVBand="0" w:evenVBand="0" w:oddHBand="0" w:evenHBand="1" w:firstRowFirstColumn="0" w:firstRowLastColumn="0" w:lastRowFirstColumn="0" w:lastRowLastColumn="0"/>
              <w:rPr>
                <w:rFonts w:cs="Arial"/>
              </w:rPr>
            </w:pPr>
            <w:r w:rsidRPr="00FF691B">
              <w:rPr>
                <w:rFonts w:cs="Arial"/>
              </w:rPr>
              <w:t xml:space="preserve">General Practitioner </w:t>
            </w:r>
          </w:p>
        </w:tc>
      </w:tr>
      <w:tr w:rsidR="00B63A68" w14:paraId="4BAACF78" w14:textId="77777777" w:rsidTr="003F2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tcPr>
          <w:p w14:paraId="7D8BF7E9" w14:textId="77777777" w:rsidR="00B63A68" w:rsidRPr="00FF691B" w:rsidRDefault="00B63A68" w:rsidP="00C37DDD">
            <w:pPr>
              <w:spacing w:after="160" w:line="259" w:lineRule="auto"/>
              <w:rPr>
                <w:rFonts w:cs="Arial"/>
                <w:b/>
                <w:bCs/>
              </w:rPr>
            </w:pPr>
            <w:r w:rsidRPr="00FF691B">
              <w:rPr>
                <w:rFonts w:cs="Arial"/>
                <w:b/>
                <w:bCs/>
              </w:rPr>
              <w:t>IHACPA</w:t>
            </w:r>
          </w:p>
        </w:tc>
        <w:tc>
          <w:tcPr>
            <w:tcW w:w="7453" w:type="dxa"/>
          </w:tcPr>
          <w:p w14:paraId="7DB2B3DB" w14:textId="77777777" w:rsidR="00B63A68" w:rsidRPr="00FF691B" w:rsidRDefault="00B63A68" w:rsidP="00C37DDD">
            <w:pPr>
              <w:cnfStyle w:val="000000100000" w:firstRow="0" w:lastRow="0" w:firstColumn="0" w:lastColumn="0" w:oddVBand="0" w:evenVBand="0" w:oddHBand="1" w:evenHBand="0" w:firstRowFirstColumn="0" w:firstRowLastColumn="0" w:lastRowFirstColumn="0" w:lastRowLastColumn="0"/>
              <w:rPr>
                <w:rFonts w:cs="Arial"/>
              </w:rPr>
            </w:pPr>
            <w:r w:rsidRPr="00FF691B">
              <w:rPr>
                <w:rFonts w:cs="Arial"/>
              </w:rPr>
              <w:t>Independent Health and Aged Care Pricing Authority</w:t>
            </w:r>
          </w:p>
        </w:tc>
      </w:tr>
      <w:tr w:rsidR="00B63A68" w14:paraId="6BE4604E" w14:textId="77777777" w:rsidTr="003F23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tcPr>
          <w:p w14:paraId="72E6129F" w14:textId="77777777" w:rsidR="00B63A68" w:rsidRPr="00FF691B" w:rsidRDefault="00B63A68" w:rsidP="00C37DDD">
            <w:pPr>
              <w:spacing w:after="160" w:line="259" w:lineRule="auto"/>
              <w:rPr>
                <w:rFonts w:cs="Arial"/>
                <w:b/>
                <w:bCs/>
              </w:rPr>
            </w:pPr>
            <w:r w:rsidRPr="00FF691B">
              <w:rPr>
                <w:rFonts w:cs="Arial"/>
                <w:b/>
                <w:bCs/>
              </w:rPr>
              <w:t>MBS</w:t>
            </w:r>
          </w:p>
        </w:tc>
        <w:tc>
          <w:tcPr>
            <w:tcW w:w="7453" w:type="dxa"/>
          </w:tcPr>
          <w:p w14:paraId="7F654A67" w14:textId="137F561D" w:rsidR="00B63A68" w:rsidRPr="00FF691B" w:rsidRDefault="00B63A68" w:rsidP="00C37DDD">
            <w:pPr>
              <w:tabs>
                <w:tab w:val="left" w:pos="2074"/>
              </w:tabs>
              <w:cnfStyle w:val="000000010000" w:firstRow="0" w:lastRow="0" w:firstColumn="0" w:lastColumn="0" w:oddVBand="0" w:evenVBand="0" w:oddHBand="0" w:evenHBand="1" w:firstRowFirstColumn="0" w:firstRowLastColumn="0" w:lastRowFirstColumn="0" w:lastRowLastColumn="0"/>
              <w:rPr>
                <w:rFonts w:cs="Arial"/>
              </w:rPr>
            </w:pPr>
            <w:r w:rsidRPr="00FF691B">
              <w:rPr>
                <w:rFonts w:cs="Arial"/>
              </w:rPr>
              <w:t>Medicare Benefits Schedule</w:t>
            </w:r>
          </w:p>
        </w:tc>
      </w:tr>
      <w:tr w:rsidR="00B63A68" w14:paraId="002ABD37" w14:textId="77777777" w:rsidTr="003F2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tcPr>
          <w:p w14:paraId="334F7929" w14:textId="77777777" w:rsidR="00B63A68" w:rsidRPr="00FF691B" w:rsidRDefault="00B63A68" w:rsidP="00C37DDD">
            <w:pPr>
              <w:spacing w:after="160" w:line="259" w:lineRule="auto"/>
              <w:rPr>
                <w:rFonts w:cs="Arial"/>
                <w:b/>
                <w:bCs/>
              </w:rPr>
            </w:pPr>
            <w:r w:rsidRPr="00FF691B">
              <w:rPr>
                <w:rFonts w:cs="Arial"/>
                <w:b/>
                <w:bCs/>
              </w:rPr>
              <w:t>MRFF</w:t>
            </w:r>
          </w:p>
        </w:tc>
        <w:tc>
          <w:tcPr>
            <w:tcW w:w="7453" w:type="dxa"/>
          </w:tcPr>
          <w:p w14:paraId="0AE7F83C" w14:textId="77777777" w:rsidR="00B63A68" w:rsidRPr="00FF691B" w:rsidRDefault="00B63A68" w:rsidP="00C37DDD">
            <w:pPr>
              <w:cnfStyle w:val="000000100000" w:firstRow="0" w:lastRow="0" w:firstColumn="0" w:lastColumn="0" w:oddVBand="0" w:evenVBand="0" w:oddHBand="1" w:evenHBand="0" w:firstRowFirstColumn="0" w:firstRowLastColumn="0" w:lastRowFirstColumn="0" w:lastRowLastColumn="0"/>
              <w:rPr>
                <w:rFonts w:cs="Arial"/>
              </w:rPr>
            </w:pPr>
            <w:r w:rsidRPr="00FF691B">
              <w:rPr>
                <w:rFonts w:cs="Arial"/>
              </w:rPr>
              <w:t>Medical Research Future Fund</w:t>
            </w:r>
          </w:p>
        </w:tc>
      </w:tr>
      <w:tr w:rsidR="00B63A68" w14:paraId="5DF577B2" w14:textId="77777777" w:rsidTr="003F23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tcPr>
          <w:p w14:paraId="02A988ED" w14:textId="77777777" w:rsidR="00B63A68" w:rsidRPr="00FF691B" w:rsidRDefault="00B63A68" w:rsidP="00C37DDD">
            <w:pPr>
              <w:spacing w:after="160" w:line="259" w:lineRule="auto"/>
              <w:rPr>
                <w:rFonts w:cs="Arial"/>
                <w:b/>
                <w:bCs/>
              </w:rPr>
            </w:pPr>
            <w:r w:rsidRPr="00FF691B">
              <w:rPr>
                <w:rFonts w:cs="Arial"/>
                <w:b/>
                <w:bCs/>
              </w:rPr>
              <w:t>NHMRC</w:t>
            </w:r>
          </w:p>
        </w:tc>
        <w:tc>
          <w:tcPr>
            <w:tcW w:w="7453" w:type="dxa"/>
          </w:tcPr>
          <w:p w14:paraId="3CF6AA71" w14:textId="77777777" w:rsidR="00B63A68" w:rsidRPr="00FF691B" w:rsidRDefault="00B63A68" w:rsidP="00C37DDD">
            <w:pPr>
              <w:cnfStyle w:val="000000010000" w:firstRow="0" w:lastRow="0" w:firstColumn="0" w:lastColumn="0" w:oddVBand="0" w:evenVBand="0" w:oddHBand="0" w:evenHBand="1" w:firstRowFirstColumn="0" w:firstRowLastColumn="0" w:lastRowFirstColumn="0" w:lastRowLastColumn="0"/>
              <w:rPr>
                <w:rFonts w:cs="Arial"/>
              </w:rPr>
            </w:pPr>
            <w:r w:rsidRPr="00FF691B">
              <w:rPr>
                <w:rFonts w:cs="Arial"/>
              </w:rPr>
              <w:t>National Health and Medical Research Council</w:t>
            </w:r>
          </w:p>
        </w:tc>
      </w:tr>
      <w:tr w:rsidR="00B63A68" w14:paraId="25E1EFFB" w14:textId="77777777" w:rsidTr="003F2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tcPr>
          <w:p w14:paraId="2CFDCC98" w14:textId="77777777" w:rsidR="00B63A68" w:rsidRPr="00FF691B" w:rsidRDefault="00B63A68" w:rsidP="00C37DDD">
            <w:pPr>
              <w:spacing w:after="160" w:line="259" w:lineRule="auto"/>
              <w:rPr>
                <w:rFonts w:cs="Arial"/>
                <w:b/>
                <w:bCs/>
              </w:rPr>
            </w:pPr>
            <w:r w:rsidRPr="00FF691B">
              <w:rPr>
                <w:rFonts w:cs="Arial"/>
                <w:b/>
                <w:bCs/>
              </w:rPr>
              <w:t>NHRA</w:t>
            </w:r>
          </w:p>
        </w:tc>
        <w:tc>
          <w:tcPr>
            <w:tcW w:w="7453" w:type="dxa"/>
          </w:tcPr>
          <w:p w14:paraId="1F9EB066" w14:textId="77777777" w:rsidR="00B63A68" w:rsidRPr="00FF691B" w:rsidRDefault="00B63A68" w:rsidP="00C37DDD">
            <w:pPr>
              <w:cnfStyle w:val="000000100000" w:firstRow="0" w:lastRow="0" w:firstColumn="0" w:lastColumn="0" w:oddVBand="0" w:evenVBand="0" w:oddHBand="1" w:evenHBand="0" w:firstRowFirstColumn="0" w:firstRowLastColumn="0" w:lastRowFirstColumn="0" w:lastRowLastColumn="0"/>
              <w:rPr>
                <w:rFonts w:cs="Arial"/>
              </w:rPr>
            </w:pPr>
            <w:r w:rsidRPr="00FF691B">
              <w:rPr>
                <w:rFonts w:cs="Arial"/>
              </w:rPr>
              <w:t>National Health Reform Agreement</w:t>
            </w:r>
          </w:p>
        </w:tc>
      </w:tr>
      <w:tr w:rsidR="00B63A68" w14:paraId="002F8396" w14:textId="77777777" w:rsidTr="003F23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tcPr>
          <w:p w14:paraId="67C02921" w14:textId="77777777" w:rsidR="00B63A68" w:rsidRPr="00FF691B" w:rsidRDefault="00B63A68" w:rsidP="00C37DDD">
            <w:pPr>
              <w:spacing w:after="160" w:line="259" w:lineRule="auto"/>
              <w:rPr>
                <w:rFonts w:cs="Arial"/>
                <w:b/>
                <w:bCs/>
              </w:rPr>
            </w:pPr>
            <w:r w:rsidRPr="00FF691B">
              <w:rPr>
                <w:rFonts w:cs="Arial"/>
                <w:b/>
                <w:bCs/>
              </w:rPr>
              <w:t>OECD</w:t>
            </w:r>
          </w:p>
        </w:tc>
        <w:tc>
          <w:tcPr>
            <w:tcW w:w="7453" w:type="dxa"/>
          </w:tcPr>
          <w:p w14:paraId="51F6B2A0" w14:textId="77777777" w:rsidR="00B63A68" w:rsidRPr="00FF691B" w:rsidRDefault="00B63A68" w:rsidP="00C37DDD">
            <w:pPr>
              <w:cnfStyle w:val="000000010000" w:firstRow="0" w:lastRow="0" w:firstColumn="0" w:lastColumn="0" w:oddVBand="0" w:evenVBand="0" w:oddHBand="0" w:evenHBand="1" w:firstRowFirstColumn="0" w:firstRowLastColumn="0" w:lastRowFirstColumn="0" w:lastRowLastColumn="0"/>
              <w:rPr>
                <w:rFonts w:cs="Arial"/>
              </w:rPr>
            </w:pPr>
            <w:r w:rsidRPr="00FF691B">
              <w:rPr>
                <w:rFonts w:cs="Arial"/>
              </w:rPr>
              <w:t>Organisation for Economic Co-operation and Development</w:t>
            </w:r>
          </w:p>
        </w:tc>
      </w:tr>
      <w:tr w:rsidR="00B63A68" w14:paraId="4F743704" w14:textId="77777777" w:rsidTr="003F23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tcPr>
          <w:p w14:paraId="39D7D4B4" w14:textId="77777777" w:rsidR="00B63A68" w:rsidRPr="00FF691B" w:rsidRDefault="00B63A68" w:rsidP="00C37DDD">
            <w:pPr>
              <w:spacing w:after="160" w:line="259" w:lineRule="auto"/>
              <w:rPr>
                <w:rFonts w:cs="Arial"/>
                <w:b/>
                <w:bCs/>
              </w:rPr>
            </w:pPr>
            <w:r w:rsidRPr="00FF691B">
              <w:rPr>
                <w:rFonts w:cs="Arial"/>
                <w:b/>
                <w:bCs/>
              </w:rPr>
              <w:t>PASC</w:t>
            </w:r>
          </w:p>
        </w:tc>
        <w:tc>
          <w:tcPr>
            <w:tcW w:w="7453" w:type="dxa"/>
          </w:tcPr>
          <w:p w14:paraId="2807D49C" w14:textId="77777777" w:rsidR="00B63A68" w:rsidRPr="00FF691B" w:rsidRDefault="00B63A68" w:rsidP="00C37DDD">
            <w:pPr>
              <w:cnfStyle w:val="000000100000" w:firstRow="0" w:lastRow="0" w:firstColumn="0" w:lastColumn="0" w:oddVBand="0" w:evenVBand="0" w:oddHBand="1" w:evenHBand="0" w:firstRowFirstColumn="0" w:firstRowLastColumn="0" w:lastRowFirstColumn="0" w:lastRowLastColumn="0"/>
              <w:rPr>
                <w:rFonts w:cs="Arial"/>
              </w:rPr>
            </w:pPr>
            <w:r w:rsidRPr="00FF691B">
              <w:rPr>
                <w:rFonts w:cs="Arial"/>
              </w:rPr>
              <w:t>Post-Acute Sequelae of COVID-19</w:t>
            </w:r>
          </w:p>
        </w:tc>
      </w:tr>
      <w:tr w:rsidR="00B63A68" w14:paraId="066DEBC0" w14:textId="77777777" w:rsidTr="003F23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tcPr>
          <w:p w14:paraId="297BFBAA" w14:textId="7B8755B7" w:rsidR="00B63A68" w:rsidRPr="00FF691B" w:rsidRDefault="00B63A68" w:rsidP="00C37DDD">
            <w:pPr>
              <w:rPr>
                <w:rFonts w:cs="Arial"/>
                <w:b/>
                <w:bCs/>
              </w:rPr>
            </w:pPr>
            <w:r w:rsidRPr="00FF691B">
              <w:rPr>
                <w:rFonts w:cs="Arial"/>
                <w:b/>
                <w:bCs/>
              </w:rPr>
              <w:t>WHO</w:t>
            </w:r>
          </w:p>
        </w:tc>
        <w:tc>
          <w:tcPr>
            <w:tcW w:w="7453" w:type="dxa"/>
          </w:tcPr>
          <w:p w14:paraId="147277E3" w14:textId="77777777" w:rsidR="00B63A68" w:rsidRPr="00FF691B" w:rsidRDefault="00B63A68" w:rsidP="00C37DDD">
            <w:pPr>
              <w:cnfStyle w:val="000000010000" w:firstRow="0" w:lastRow="0" w:firstColumn="0" w:lastColumn="0" w:oddVBand="0" w:evenVBand="0" w:oddHBand="0" w:evenHBand="1" w:firstRowFirstColumn="0" w:firstRowLastColumn="0" w:lastRowFirstColumn="0" w:lastRowLastColumn="0"/>
              <w:rPr>
                <w:rFonts w:cs="Arial"/>
              </w:rPr>
            </w:pPr>
            <w:r w:rsidRPr="00FF691B">
              <w:rPr>
                <w:rFonts w:cs="Arial"/>
              </w:rPr>
              <w:t>World Health Organization</w:t>
            </w:r>
          </w:p>
        </w:tc>
      </w:tr>
    </w:tbl>
    <w:p w14:paraId="6A14680A" w14:textId="740E9283" w:rsidR="00B63A68" w:rsidRDefault="00B63A68" w:rsidP="00DE6375">
      <w:pPr>
        <w:sectPr w:rsidR="00B63A68" w:rsidSect="00C474EB">
          <w:pgSz w:w="11906" w:h="16838"/>
          <w:pgMar w:top="1701" w:right="1418" w:bottom="1418" w:left="1418" w:header="709" w:footer="709" w:gutter="0"/>
          <w:cols w:space="708"/>
          <w:docGrid w:linePitch="360"/>
        </w:sectPr>
      </w:pPr>
    </w:p>
    <w:p w14:paraId="6CFA85BF" w14:textId="0349B95A" w:rsidR="00DE6375" w:rsidRPr="00E90544" w:rsidRDefault="00DE6375" w:rsidP="00EF0712">
      <w:pPr>
        <w:spacing w:before="4000"/>
        <w:jc w:val="center"/>
        <w:rPr>
          <w:rFonts w:cs="Arial"/>
        </w:rPr>
      </w:pPr>
      <w:r w:rsidRPr="00E90544">
        <w:rPr>
          <w:rFonts w:cs="Arial"/>
        </w:rPr>
        <w:lastRenderedPageBreak/>
        <w:t xml:space="preserve">All information in this publication is correct as </w:t>
      </w:r>
      <w:r w:rsidR="00C03FF2">
        <w:rPr>
          <w:rFonts w:cs="Arial"/>
        </w:rPr>
        <w:t>of</w:t>
      </w:r>
      <w:r w:rsidRPr="00E90544">
        <w:rPr>
          <w:rFonts w:cs="Arial"/>
        </w:rPr>
        <w:t xml:space="preserve"> </w:t>
      </w:r>
      <w:r w:rsidR="00C03FF2">
        <w:rPr>
          <w:rFonts w:cs="Arial"/>
        </w:rPr>
        <w:t>February</w:t>
      </w:r>
      <w:r w:rsidRPr="00E90544">
        <w:rPr>
          <w:rFonts w:cs="Arial"/>
        </w:rPr>
        <w:t xml:space="preserve"> 202</w:t>
      </w:r>
      <w:r w:rsidR="00C03FF2">
        <w:rPr>
          <w:rFonts w:cs="Arial"/>
        </w:rPr>
        <w:t>4</w:t>
      </w:r>
    </w:p>
    <w:sectPr w:rsidR="00DE6375" w:rsidRPr="00E90544" w:rsidSect="00C474EB">
      <w:headerReference w:type="default" r:id="rId66"/>
      <w:footerReference w:type="default" r:id="rId67"/>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723F8" w14:textId="77777777" w:rsidR="004A00E7" w:rsidRDefault="004A00E7" w:rsidP="0036611B">
      <w:pPr>
        <w:spacing w:after="0" w:line="240" w:lineRule="auto"/>
      </w:pPr>
      <w:r>
        <w:separator/>
      </w:r>
    </w:p>
  </w:endnote>
  <w:endnote w:type="continuationSeparator" w:id="0">
    <w:p w14:paraId="493DAA8E" w14:textId="77777777" w:rsidR="004A00E7" w:rsidRDefault="004A00E7" w:rsidP="0036611B">
      <w:pPr>
        <w:spacing w:after="0" w:line="240" w:lineRule="auto"/>
      </w:pPr>
      <w:r>
        <w:continuationSeparator/>
      </w:r>
    </w:p>
  </w:endnote>
  <w:endnote w:type="continuationNotice" w:id="1">
    <w:p w14:paraId="64B4A583" w14:textId="77777777" w:rsidR="004A00E7" w:rsidRDefault="004A00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1546409970"/>
      <w:docPartObj>
        <w:docPartGallery w:val="Page Numbers (Bottom of Page)"/>
        <w:docPartUnique/>
      </w:docPartObj>
    </w:sdtPr>
    <w:sdtEndPr/>
    <w:sdtContent>
      <w:sdt>
        <w:sdtPr>
          <w:rPr>
            <w:rFonts w:cs="Arial"/>
          </w:rPr>
          <w:id w:val="-1769616900"/>
          <w:docPartObj>
            <w:docPartGallery w:val="Page Numbers (Top of Page)"/>
            <w:docPartUnique/>
          </w:docPartObj>
        </w:sdtPr>
        <w:sdtEndPr/>
        <w:sdtContent>
          <w:p w14:paraId="4C9139E3" w14:textId="0A903A17" w:rsidR="00765DCD" w:rsidRPr="00E90544" w:rsidRDefault="00765DCD">
            <w:pPr>
              <w:pStyle w:val="Footer"/>
              <w:jc w:val="right"/>
              <w:rPr>
                <w:rFonts w:cs="Arial"/>
              </w:rPr>
            </w:pPr>
            <w:r w:rsidRPr="00E90544">
              <w:rPr>
                <w:rFonts w:cs="Arial"/>
              </w:rPr>
              <w:t xml:space="preserve">Page </w:t>
            </w:r>
            <w:r w:rsidRPr="00E90544">
              <w:rPr>
                <w:rFonts w:cs="Arial"/>
                <w:b/>
                <w:bCs/>
              </w:rPr>
              <w:fldChar w:fldCharType="begin"/>
            </w:r>
            <w:r w:rsidRPr="00E90544">
              <w:rPr>
                <w:rFonts w:cs="Arial"/>
                <w:b/>
                <w:bCs/>
              </w:rPr>
              <w:instrText xml:space="preserve"> PAGE </w:instrText>
            </w:r>
            <w:r w:rsidRPr="00E90544">
              <w:rPr>
                <w:rFonts w:cs="Arial"/>
                <w:b/>
                <w:bCs/>
              </w:rPr>
              <w:fldChar w:fldCharType="separate"/>
            </w:r>
            <w:r w:rsidR="004943BF">
              <w:rPr>
                <w:rFonts w:cs="Arial"/>
                <w:b/>
                <w:bCs/>
                <w:noProof/>
              </w:rPr>
              <w:t>16</w:t>
            </w:r>
            <w:r w:rsidRPr="00E90544">
              <w:rPr>
                <w:rFonts w:cs="Arial"/>
                <w:b/>
                <w:bCs/>
              </w:rPr>
              <w:fldChar w:fldCharType="end"/>
            </w:r>
            <w:r w:rsidRPr="00E90544">
              <w:rPr>
                <w:rFonts w:cs="Arial"/>
              </w:rPr>
              <w:t xml:space="preserve"> of </w:t>
            </w:r>
            <w:r w:rsidRPr="00E90544">
              <w:rPr>
                <w:rFonts w:cs="Arial"/>
                <w:b/>
                <w:bCs/>
              </w:rPr>
              <w:fldChar w:fldCharType="begin"/>
            </w:r>
            <w:r w:rsidRPr="00E90544">
              <w:rPr>
                <w:rFonts w:cs="Arial"/>
                <w:b/>
                <w:bCs/>
              </w:rPr>
              <w:instrText xml:space="preserve"> NUMPAGES  </w:instrText>
            </w:r>
            <w:r w:rsidRPr="00E90544">
              <w:rPr>
                <w:rFonts w:cs="Arial"/>
                <w:b/>
                <w:bCs/>
              </w:rPr>
              <w:fldChar w:fldCharType="separate"/>
            </w:r>
            <w:r w:rsidR="004943BF">
              <w:rPr>
                <w:rFonts w:cs="Arial"/>
                <w:b/>
                <w:bCs/>
                <w:noProof/>
              </w:rPr>
              <w:t>17</w:t>
            </w:r>
            <w:r w:rsidRPr="00E90544">
              <w:rPr>
                <w:rFonts w:cs="Arial"/>
                <w:b/>
                <w:bCs/>
              </w:rPr>
              <w:fldChar w:fldCharType="end"/>
            </w:r>
          </w:p>
        </w:sdtContent>
      </w:sdt>
    </w:sdtContent>
  </w:sdt>
  <w:p w14:paraId="6B729431" w14:textId="77777777" w:rsidR="00765DCD" w:rsidRPr="00875682" w:rsidRDefault="00765DCD">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F362" w14:textId="77777777" w:rsidR="00C474EB" w:rsidRDefault="00C474EB" w:rsidP="00C474EB">
    <w:pPr>
      <w:pStyle w:val="Footer"/>
      <w:rPr>
        <w:noProof/>
      </w:rPr>
    </w:pPr>
  </w:p>
  <w:p w14:paraId="214CCEF2" w14:textId="77777777" w:rsidR="00C474EB" w:rsidRDefault="00C474EB" w:rsidP="00C47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F8CF" w14:textId="77777777" w:rsidR="004A00E7" w:rsidRDefault="004A00E7" w:rsidP="0036611B">
      <w:pPr>
        <w:spacing w:after="0" w:line="240" w:lineRule="auto"/>
      </w:pPr>
      <w:r>
        <w:separator/>
      </w:r>
    </w:p>
  </w:footnote>
  <w:footnote w:type="continuationSeparator" w:id="0">
    <w:p w14:paraId="4BBEA4C2" w14:textId="77777777" w:rsidR="004A00E7" w:rsidRDefault="004A00E7" w:rsidP="0036611B">
      <w:pPr>
        <w:spacing w:after="0" w:line="240" w:lineRule="auto"/>
      </w:pPr>
      <w:r>
        <w:continuationSeparator/>
      </w:r>
    </w:p>
  </w:footnote>
  <w:footnote w:type="continuationNotice" w:id="1">
    <w:p w14:paraId="460D35E0" w14:textId="77777777" w:rsidR="004A00E7" w:rsidRDefault="004A00E7">
      <w:pPr>
        <w:spacing w:after="0" w:line="240" w:lineRule="auto"/>
      </w:pPr>
    </w:p>
  </w:footnote>
  <w:footnote w:id="2">
    <w:p w14:paraId="2193AD90" w14:textId="77777777" w:rsidR="0036611B" w:rsidRDefault="0036611B" w:rsidP="00D332FA">
      <w:pPr>
        <w:pStyle w:val="FootnoteText"/>
      </w:pPr>
      <w:r>
        <w:rPr>
          <w:rStyle w:val="FootnoteReference"/>
        </w:rPr>
        <w:footnoteRef/>
      </w:r>
      <w:r>
        <w:t xml:space="preserve"> </w:t>
      </w:r>
      <w:hyperlink r:id="rId1" w:history="1">
        <w:r w:rsidRPr="007F4476">
          <w:rPr>
            <w:rStyle w:val="Hyperlink"/>
            <w:rFonts w:asciiTheme="minorHAnsi" w:hAnsiTheme="minorHAnsi" w:cstheme="minorHAnsi"/>
            <w:sz w:val="16"/>
            <w:szCs w:val="16"/>
          </w:rPr>
          <w:t>Long COVID in Australia – a review of the literature</w:t>
        </w:r>
      </w:hyperlink>
    </w:p>
  </w:footnote>
  <w:footnote w:id="3">
    <w:p w14:paraId="3E92DBB8" w14:textId="77777777" w:rsidR="00977468" w:rsidRDefault="00977468" w:rsidP="00D332FA">
      <w:pPr>
        <w:pStyle w:val="FootnoteText"/>
        <w:rPr>
          <w:rStyle w:val="Hyperlink"/>
          <w:rFonts w:ascii="Calibri" w:eastAsia="Calibri" w:hAnsi="Calibri" w:cs="Calibri"/>
          <w:sz w:val="16"/>
          <w:szCs w:val="16"/>
        </w:rPr>
      </w:pPr>
      <w:r w:rsidRPr="15308C0F">
        <w:rPr>
          <w:rStyle w:val="FootnoteReference"/>
        </w:rPr>
        <w:footnoteRef/>
      </w:r>
      <w:r>
        <w:t xml:space="preserve"> </w:t>
      </w:r>
      <w:hyperlink r:id="rId2" w:history="1">
        <w:r w:rsidRPr="03C48AF2">
          <w:rPr>
            <w:rStyle w:val="Hyperlink"/>
            <w:rFonts w:ascii="Calibri" w:eastAsia="Calibri" w:hAnsi="Calibri" w:cs="Calibri"/>
            <w:sz w:val="16"/>
            <w:szCs w:val="16"/>
          </w:rPr>
          <w:t>Risk factors and disease profile of post-vaccination SARS-CoV-2 infection in UK users of the COVID Symptom Study app: a prospective, community-based, nested, case-control study</w:t>
        </w:r>
      </w:hyperlink>
    </w:p>
  </w:footnote>
  <w:footnote w:id="4">
    <w:p w14:paraId="2304038D" w14:textId="77777777" w:rsidR="00977468" w:rsidRDefault="00977468" w:rsidP="00D332FA">
      <w:pPr>
        <w:pStyle w:val="FootnoteText"/>
      </w:pPr>
      <w:r w:rsidRPr="50213FF5">
        <w:rPr>
          <w:rStyle w:val="FootnoteReference"/>
        </w:rPr>
        <w:footnoteRef/>
      </w:r>
      <w:r>
        <w:t xml:space="preserve"> </w:t>
      </w:r>
      <w:hyperlink r:id="rId3" w:history="1">
        <w:r w:rsidRPr="65ECF75C">
          <w:rPr>
            <w:rStyle w:val="Hyperlink"/>
            <w:rFonts w:ascii="Calibri" w:eastAsia="Calibri" w:hAnsi="Calibri" w:cs="Calibri"/>
            <w:sz w:val="16"/>
            <w:szCs w:val="16"/>
          </w:rPr>
          <w:t>Impact of COVID-19 vaccination on the risk of developing long-COVID and on existing long-COVID symptoms: A systematic review</w:t>
        </w:r>
      </w:hyperlink>
    </w:p>
  </w:footnote>
  <w:footnote w:id="5">
    <w:p w14:paraId="48B10774" w14:textId="77777777" w:rsidR="002E360B" w:rsidRDefault="002E360B" w:rsidP="00D332FA">
      <w:pPr>
        <w:pStyle w:val="FootnoteText"/>
      </w:pPr>
      <w:r w:rsidRPr="4794F706">
        <w:rPr>
          <w:rStyle w:val="FootnoteReference"/>
        </w:rPr>
        <w:footnoteRef/>
      </w:r>
      <w:r>
        <w:t xml:space="preserve"> </w:t>
      </w:r>
      <w:hyperlink r:id="rId4" w:history="1">
        <w:r w:rsidRPr="3F364311">
          <w:rPr>
            <w:rStyle w:val="Hyperlink"/>
            <w:rFonts w:ascii="Calibri" w:eastAsia="Calibri" w:hAnsi="Calibri" w:cs="Calibri"/>
            <w:sz w:val="16"/>
            <w:szCs w:val="16"/>
          </w:rPr>
          <w:t>Risk of long COVID associated with delta versus omicron variants of SARS-CoV-2 | Lancet</w:t>
        </w:r>
      </w:hyperlink>
    </w:p>
  </w:footnote>
  <w:footnote w:id="6">
    <w:p w14:paraId="687EB241" w14:textId="766351DB" w:rsidR="00145238" w:rsidRPr="00A6689A" w:rsidRDefault="00145238" w:rsidP="00D332FA">
      <w:pPr>
        <w:pStyle w:val="Heading1"/>
        <w:shd w:val="clear" w:color="auto" w:fill="FFFFFF"/>
        <w:spacing w:before="0" w:after="0"/>
        <w:textAlignment w:val="baseline"/>
        <w:rPr>
          <w:rFonts w:ascii="Calibri" w:eastAsia="Calibri" w:hAnsi="Calibri" w:cs="Calibri"/>
          <w:b w:val="0"/>
          <w:bCs w:val="0"/>
          <w:color w:val="0000FF"/>
          <w:kern w:val="0"/>
          <w:sz w:val="16"/>
          <w:szCs w:val="16"/>
          <w:u w:val="single"/>
        </w:rPr>
      </w:pPr>
      <w:r w:rsidRPr="00145238">
        <w:rPr>
          <w:rStyle w:val="FootnoteReference"/>
          <w:rFonts w:cs="Times New Roman"/>
          <w:b w:val="0"/>
          <w:bCs w:val="0"/>
          <w:color w:val="auto"/>
          <w:kern w:val="0"/>
          <w:sz w:val="20"/>
          <w:szCs w:val="20"/>
        </w:rPr>
        <w:footnoteRef/>
      </w:r>
      <w:r w:rsidRPr="00145238">
        <w:rPr>
          <w:rStyle w:val="FootnoteReference"/>
          <w:rFonts w:cs="Times New Roman"/>
          <w:b w:val="0"/>
          <w:bCs w:val="0"/>
          <w:color w:val="auto"/>
          <w:kern w:val="0"/>
          <w:sz w:val="20"/>
          <w:szCs w:val="20"/>
        </w:rPr>
        <w:t xml:space="preserve"> </w:t>
      </w:r>
      <w:hyperlink r:id="rId5" w:history="1">
        <w:r w:rsidRPr="00145238">
          <w:rPr>
            <w:rStyle w:val="Hyperlink"/>
            <w:rFonts w:ascii="Calibri" w:eastAsia="Calibri" w:hAnsi="Calibri" w:cs="Calibri"/>
            <w:b w:val="0"/>
            <w:bCs w:val="0"/>
            <w:kern w:val="0"/>
            <w:sz w:val="16"/>
            <w:szCs w:val="16"/>
          </w:rPr>
          <w:t>Risk factors for long coronavirus disease 2019 (long COVID) among healthcare personnel, Brazil, 2020–2022</w:t>
        </w:r>
      </w:hyperlink>
    </w:p>
  </w:footnote>
  <w:footnote w:id="7">
    <w:p w14:paraId="087BAF7A" w14:textId="488B9091" w:rsidR="007A20A5" w:rsidRDefault="007A20A5" w:rsidP="00D332FA">
      <w:pPr>
        <w:pStyle w:val="FootnoteText"/>
      </w:pPr>
      <w:r>
        <w:rPr>
          <w:rStyle w:val="FootnoteReference"/>
        </w:rPr>
        <w:footnoteRef/>
      </w:r>
      <w:r>
        <w:t xml:space="preserve"> </w:t>
      </w:r>
      <w:hyperlink r:id="rId6" w:anchor="s0065" w:history="1">
        <w:r w:rsidRPr="00145238">
          <w:rPr>
            <w:rStyle w:val="Hyperlink"/>
            <w:rFonts w:ascii="Calibri" w:eastAsia="Calibri" w:hAnsi="Calibri" w:cs="Calibri"/>
            <w:sz w:val="16"/>
            <w:szCs w:val="16"/>
          </w:rPr>
          <w:t>Protective effect of COVID-19 vaccination against long COVID syndrome: A systematic review and meta-analysis</w:t>
        </w:r>
      </w:hyperlink>
    </w:p>
  </w:footnote>
  <w:footnote w:id="8">
    <w:p w14:paraId="119D980D" w14:textId="6209B96F" w:rsidR="007A20A5" w:rsidRDefault="007A20A5" w:rsidP="00D332FA">
      <w:pPr>
        <w:pStyle w:val="FootnoteText"/>
      </w:pPr>
      <w:r>
        <w:rPr>
          <w:rStyle w:val="FootnoteReference"/>
        </w:rPr>
        <w:footnoteRef/>
      </w:r>
      <w:r>
        <w:t xml:space="preserve"> </w:t>
      </w:r>
      <w:hyperlink r:id="rId7" w:history="1">
        <w:r w:rsidRPr="007A20A5">
          <w:rPr>
            <w:rStyle w:val="Hyperlink"/>
            <w:rFonts w:ascii="Calibri" w:eastAsia="Calibri" w:hAnsi="Calibri" w:cs="Calibri"/>
            <w:sz w:val="16"/>
            <w:szCs w:val="16"/>
          </w:rPr>
          <w:t>Effect of covid-19 vaccination on long covid: systematic review</w:t>
        </w:r>
      </w:hyperlink>
    </w:p>
  </w:footnote>
  <w:footnote w:id="9">
    <w:p w14:paraId="209D713E" w14:textId="77777777" w:rsidR="00936977" w:rsidRDefault="00936977">
      <w:pPr>
        <w:pStyle w:val="FootnoteText"/>
      </w:pPr>
      <w:r w:rsidRPr="004E528A">
        <w:rPr>
          <w:rStyle w:val="FootnoteReference"/>
          <w:sz w:val="18"/>
          <w:szCs w:val="18"/>
        </w:rPr>
        <w:footnoteRef/>
      </w:r>
      <w:r w:rsidRPr="004E528A">
        <w:rPr>
          <w:sz w:val="18"/>
          <w:szCs w:val="18"/>
        </w:rPr>
        <w:t xml:space="preserve"> </w:t>
      </w:r>
      <w:r w:rsidRPr="004E528A">
        <w:t>Includes First Nations peoples, older people, people with disability, people from a culturally or linguistically diverse background, people experiencing socio-economic disadvantage, people living in rural and remote areas and people with mental illness.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C9E0" w14:textId="77777777" w:rsidR="00C474EB" w:rsidRDefault="00C474EB">
    <w:pPr>
      <w:pStyle w:val="Header"/>
    </w:pPr>
    <w:r>
      <w:rPr>
        <w:noProof/>
        <w:color w:val="2B579A"/>
        <w:shd w:val="clear" w:color="auto" w:fill="E6E6E6"/>
        <w:lang w:eastAsia="en-AU"/>
      </w:rPr>
      <w:drawing>
        <wp:anchor distT="0" distB="0" distL="114300" distR="114300" simplePos="0" relativeHeight="251658240" behindDoc="1" locked="0" layoutInCell="1" allowOverlap="1" wp14:anchorId="4CD65CC8" wp14:editId="3ABF1CE1">
          <wp:simplePos x="0" y="0"/>
          <wp:positionH relativeFrom="page">
            <wp:posOffset>47625</wp:posOffset>
          </wp:positionH>
          <wp:positionV relativeFrom="page">
            <wp:align>bottom</wp:align>
          </wp:positionV>
          <wp:extent cx="7559040" cy="6886575"/>
          <wp:effectExtent l="0" t="0" r="3810" b="952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2352"/>
                  <a:stretch>
                    <a:fillRect/>
                  </a:stretch>
                </pic:blipFill>
                <pic:spPr bwMode="auto">
                  <a:xfrm>
                    <a:off x="0" y="0"/>
                    <a:ext cx="7559040" cy="688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41246CA"/>
    <w:lvl w:ilvl="0">
      <w:start w:val="1"/>
      <w:numFmt w:val="bullet"/>
      <w:pStyle w:val="ListBullet2"/>
      <w:lvlText w:val="»"/>
      <w:lvlJc w:val="left"/>
      <w:pPr>
        <w:ind w:left="644" w:hanging="360"/>
      </w:pPr>
      <w:rPr>
        <w:rFonts w:ascii="Arial" w:hAnsi="Arial" w:hint="default"/>
        <w:color w:val="358189"/>
        <w:sz w:val="44"/>
        <w:szCs w:val="32"/>
      </w:rPr>
    </w:lvl>
  </w:abstractNum>
  <w:abstractNum w:abstractNumId="1" w15:restartNumberingAfterBreak="0">
    <w:nsid w:val="FFFFFF89"/>
    <w:multiLevelType w:val="singleLevel"/>
    <w:tmpl w:val="9288057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3C472A59"/>
    <w:multiLevelType w:val="hybridMultilevel"/>
    <w:tmpl w:val="F2E01184"/>
    <w:lvl w:ilvl="0" w:tplc="76AC30FE">
      <w:start w:val="1"/>
      <w:numFmt w:val="bullet"/>
      <w:pStyle w:val="Tablelistbullet"/>
      <w:lvlText w:val=""/>
      <w:lvlJc w:val="left"/>
      <w:pPr>
        <w:ind w:left="1209" w:hanging="360"/>
      </w:pPr>
      <w:rPr>
        <w:rFonts w:ascii="Symbol" w:hAnsi="Symbol" w:hint="default"/>
      </w:rPr>
    </w:lvl>
    <w:lvl w:ilvl="1" w:tplc="0C090003" w:tentative="1">
      <w:start w:val="1"/>
      <w:numFmt w:val="bullet"/>
      <w:lvlText w:val="o"/>
      <w:lvlJc w:val="left"/>
      <w:pPr>
        <w:ind w:left="1929" w:hanging="360"/>
      </w:pPr>
      <w:rPr>
        <w:rFonts w:ascii="Courier New" w:hAnsi="Courier New" w:cs="Courier New" w:hint="default"/>
      </w:rPr>
    </w:lvl>
    <w:lvl w:ilvl="2" w:tplc="0C090005" w:tentative="1">
      <w:start w:val="1"/>
      <w:numFmt w:val="bullet"/>
      <w:lvlText w:val=""/>
      <w:lvlJc w:val="left"/>
      <w:pPr>
        <w:ind w:left="2649" w:hanging="360"/>
      </w:pPr>
      <w:rPr>
        <w:rFonts w:ascii="Wingdings" w:hAnsi="Wingdings" w:hint="default"/>
      </w:rPr>
    </w:lvl>
    <w:lvl w:ilvl="3" w:tplc="0C090001" w:tentative="1">
      <w:start w:val="1"/>
      <w:numFmt w:val="bullet"/>
      <w:lvlText w:val=""/>
      <w:lvlJc w:val="left"/>
      <w:pPr>
        <w:ind w:left="3369" w:hanging="360"/>
      </w:pPr>
      <w:rPr>
        <w:rFonts w:ascii="Symbol" w:hAnsi="Symbol" w:hint="default"/>
      </w:rPr>
    </w:lvl>
    <w:lvl w:ilvl="4" w:tplc="0C090003" w:tentative="1">
      <w:start w:val="1"/>
      <w:numFmt w:val="bullet"/>
      <w:lvlText w:val="o"/>
      <w:lvlJc w:val="left"/>
      <w:pPr>
        <w:ind w:left="4089" w:hanging="360"/>
      </w:pPr>
      <w:rPr>
        <w:rFonts w:ascii="Courier New" w:hAnsi="Courier New" w:cs="Courier New" w:hint="default"/>
      </w:rPr>
    </w:lvl>
    <w:lvl w:ilvl="5" w:tplc="0C090005" w:tentative="1">
      <w:start w:val="1"/>
      <w:numFmt w:val="bullet"/>
      <w:lvlText w:val=""/>
      <w:lvlJc w:val="left"/>
      <w:pPr>
        <w:ind w:left="4809" w:hanging="360"/>
      </w:pPr>
      <w:rPr>
        <w:rFonts w:ascii="Wingdings" w:hAnsi="Wingdings" w:hint="default"/>
      </w:rPr>
    </w:lvl>
    <w:lvl w:ilvl="6" w:tplc="0C090001" w:tentative="1">
      <w:start w:val="1"/>
      <w:numFmt w:val="bullet"/>
      <w:lvlText w:val=""/>
      <w:lvlJc w:val="left"/>
      <w:pPr>
        <w:ind w:left="5529" w:hanging="360"/>
      </w:pPr>
      <w:rPr>
        <w:rFonts w:ascii="Symbol" w:hAnsi="Symbol" w:hint="default"/>
      </w:rPr>
    </w:lvl>
    <w:lvl w:ilvl="7" w:tplc="0C090003" w:tentative="1">
      <w:start w:val="1"/>
      <w:numFmt w:val="bullet"/>
      <w:lvlText w:val="o"/>
      <w:lvlJc w:val="left"/>
      <w:pPr>
        <w:ind w:left="6249" w:hanging="360"/>
      </w:pPr>
      <w:rPr>
        <w:rFonts w:ascii="Courier New" w:hAnsi="Courier New" w:cs="Courier New" w:hint="default"/>
      </w:rPr>
    </w:lvl>
    <w:lvl w:ilvl="8" w:tplc="0C090005" w:tentative="1">
      <w:start w:val="1"/>
      <w:numFmt w:val="bullet"/>
      <w:lvlText w:val=""/>
      <w:lvlJc w:val="left"/>
      <w:pPr>
        <w:ind w:left="6969" w:hanging="360"/>
      </w:pPr>
      <w:rPr>
        <w:rFonts w:ascii="Wingdings" w:hAnsi="Wingdings" w:hint="default"/>
      </w:rPr>
    </w:lvl>
  </w:abstractNum>
  <w:abstractNum w:abstractNumId="3" w15:restartNumberingAfterBreak="0">
    <w:nsid w:val="6F142C84"/>
    <w:multiLevelType w:val="hybridMultilevel"/>
    <w:tmpl w:val="059CA144"/>
    <w:lvl w:ilvl="0" w:tplc="AD1C9806">
      <w:start w:val="1"/>
      <w:numFmt w:val="bullet"/>
      <w:pStyle w:val="Tablelistbulletlevel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62247D"/>
    <w:multiLevelType w:val="hybridMultilevel"/>
    <w:tmpl w:val="143E102E"/>
    <w:lvl w:ilvl="0" w:tplc="F9D27D7E">
      <w:start w:val="1"/>
      <w:numFmt w:val="bullet"/>
      <w:pStyle w:val="ListBullet3"/>
      <w:lvlText w:val="»"/>
      <w:lvlJc w:val="left"/>
      <w:pPr>
        <w:ind w:left="363" w:hanging="360"/>
      </w:pPr>
      <w:rPr>
        <w:rFonts w:ascii="Arial" w:hAnsi="Arial" w:hint="default"/>
        <w:color w:val="358189"/>
        <w:sz w:val="32"/>
        <w:szCs w:val="32"/>
      </w:rPr>
    </w:lvl>
    <w:lvl w:ilvl="1" w:tplc="7A5C7652">
      <w:start w:val="1"/>
      <w:numFmt w:val="bullet"/>
      <w:lvlText w:val="o"/>
      <w:lvlJc w:val="left"/>
      <w:pPr>
        <w:ind w:left="1083" w:hanging="360"/>
      </w:pPr>
      <w:rPr>
        <w:rFonts w:ascii="Courier New" w:hAnsi="Courier New" w:hint="default"/>
      </w:rPr>
    </w:lvl>
    <w:lvl w:ilvl="2" w:tplc="B38EE468" w:tentative="1">
      <w:start w:val="1"/>
      <w:numFmt w:val="bullet"/>
      <w:lvlText w:val=""/>
      <w:lvlJc w:val="left"/>
      <w:pPr>
        <w:ind w:left="1803" w:hanging="360"/>
      </w:pPr>
      <w:rPr>
        <w:rFonts w:ascii="Wingdings" w:hAnsi="Wingdings" w:hint="default"/>
      </w:rPr>
    </w:lvl>
    <w:lvl w:ilvl="3" w:tplc="167AB9D2" w:tentative="1">
      <w:start w:val="1"/>
      <w:numFmt w:val="bullet"/>
      <w:lvlText w:val=""/>
      <w:lvlJc w:val="left"/>
      <w:pPr>
        <w:ind w:left="2523" w:hanging="360"/>
      </w:pPr>
      <w:rPr>
        <w:rFonts w:ascii="Symbol" w:hAnsi="Symbol" w:hint="default"/>
      </w:rPr>
    </w:lvl>
    <w:lvl w:ilvl="4" w:tplc="2FEE3076" w:tentative="1">
      <w:start w:val="1"/>
      <w:numFmt w:val="bullet"/>
      <w:lvlText w:val="o"/>
      <w:lvlJc w:val="left"/>
      <w:pPr>
        <w:ind w:left="3243" w:hanging="360"/>
      </w:pPr>
      <w:rPr>
        <w:rFonts w:ascii="Courier New" w:hAnsi="Courier New" w:hint="default"/>
      </w:rPr>
    </w:lvl>
    <w:lvl w:ilvl="5" w:tplc="91B4450E" w:tentative="1">
      <w:start w:val="1"/>
      <w:numFmt w:val="bullet"/>
      <w:lvlText w:val=""/>
      <w:lvlJc w:val="left"/>
      <w:pPr>
        <w:ind w:left="3963" w:hanging="360"/>
      </w:pPr>
      <w:rPr>
        <w:rFonts w:ascii="Wingdings" w:hAnsi="Wingdings" w:hint="default"/>
      </w:rPr>
    </w:lvl>
    <w:lvl w:ilvl="6" w:tplc="BFEC7C28" w:tentative="1">
      <w:start w:val="1"/>
      <w:numFmt w:val="bullet"/>
      <w:lvlText w:val=""/>
      <w:lvlJc w:val="left"/>
      <w:pPr>
        <w:ind w:left="4683" w:hanging="360"/>
      </w:pPr>
      <w:rPr>
        <w:rFonts w:ascii="Symbol" w:hAnsi="Symbol" w:hint="default"/>
      </w:rPr>
    </w:lvl>
    <w:lvl w:ilvl="7" w:tplc="8512705A" w:tentative="1">
      <w:start w:val="1"/>
      <w:numFmt w:val="bullet"/>
      <w:lvlText w:val="o"/>
      <w:lvlJc w:val="left"/>
      <w:pPr>
        <w:ind w:left="5403" w:hanging="360"/>
      </w:pPr>
      <w:rPr>
        <w:rFonts w:ascii="Courier New" w:hAnsi="Courier New" w:hint="default"/>
      </w:rPr>
    </w:lvl>
    <w:lvl w:ilvl="8" w:tplc="B26EB64A" w:tentative="1">
      <w:start w:val="1"/>
      <w:numFmt w:val="bullet"/>
      <w:lvlText w:val=""/>
      <w:lvlJc w:val="left"/>
      <w:pPr>
        <w:ind w:left="6123" w:hanging="360"/>
      </w:pPr>
      <w:rPr>
        <w:rFonts w:ascii="Wingdings" w:hAnsi="Wingdings" w:hint="default"/>
      </w:rPr>
    </w:lvl>
  </w:abstractNum>
  <w:num w:numId="1" w16cid:durableId="1917931104">
    <w:abstractNumId w:val="4"/>
  </w:num>
  <w:num w:numId="2" w16cid:durableId="879518372">
    <w:abstractNumId w:val="1"/>
  </w:num>
  <w:num w:numId="3" w16cid:durableId="1842694985">
    <w:abstractNumId w:val="0"/>
  </w:num>
  <w:num w:numId="4" w16cid:durableId="847252972">
    <w:abstractNumId w:val="2"/>
  </w:num>
  <w:num w:numId="5" w16cid:durableId="133072060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11B"/>
    <w:rsid w:val="0000042C"/>
    <w:rsid w:val="00001674"/>
    <w:rsid w:val="00002698"/>
    <w:rsid w:val="0000339D"/>
    <w:rsid w:val="00005224"/>
    <w:rsid w:val="00006712"/>
    <w:rsid w:val="00006FE3"/>
    <w:rsid w:val="000072FB"/>
    <w:rsid w:val="000079A8"/>
    <w:rsid w:val="00007D49"/>
    <w:rsid w:val="00010A84"/>
    <w:rsid w:val="00010D2F"/>
    <w:rsid w:val="00011C68"/>
    <w:rsid w:val="000135EE"/>
    <w:rsid w:val="00013F81"/>
    <w:rsid w:val="00014159"/>
    <w:rsid w:val="000141C7"/>
    <w:rsid w:val="00014E9B"/>
    <w:rsid w:val="00015C2F"/>
    <w:rsid w:val="0001606A"/>
    <w:rsid w:val="000160EB"/>
    <w:rsid w:val="00016648"/>
    <w:rsid w:val="000167E3"/>
    <w:rsid w:val="0001779E"/>
    <w:rsid w:val="00017F7B"/>
    <w:rsid w:val="00020E50"/>
    <w:rsid w:val="0002137C"/>
    <w:rsid w:val="00021959"/>
    <w:rsid w:val="0002249F"/>
    <w:rsid w:val="00023936"/>
    <w:rsid w:val="00023D78"/>
    <w:rsid w:val="00023F2B"/>
    <w:rsid w:val="000247FE"/>
    <w:rsid w:val="00025319"/>
    <w:rsid w:val="00026385"/>
    <w:rsid w:val="00026495"/>
    <w:rsid w:val="000264E9"/>
    <w:rsid w:val="00027C57"/>
    <w:rsid w:val="0003048D"/>
    <w:rsid w:val="000304C6"/>
    <w:rsid w:val="00030A91"/>
    <w:rsid w:val="000312F6"/>
    <w:rsid w:val="00031928"/>
    <w:rsid w:val="00032253"/>
    <w:rsid w:val="0003230A"/>
    <w:rsid w:val="00032D80"/>
    <w:rsid w:val="000332FB"/>
    <w:rsid w:val="00033938"/>
    <w:rsid w:val="00034571"/>
    <w:rsid w:val="00034F52"/>
    <w:rsid w:val="0003554A"/>
    <w:rsid w:val="0003586A"/>
    <w:rsid w:val="00035FB0"/>
    <w:rsid w:val="000369B3"/>
    <w:rsid w:val="00037C57"/>
    <w:rsid w:val="0004064B"/>
    <w:rsid w:val="00040AAE"/>
    <w:rsid w:val="000417B9"/>
    <w:rsid w:val="00041D40"/>
    <w:rsid w:val="00042AD1"/>
    <w:rsid w:val="00042DA3"/>
    <w:rsid w:val="00043451"/>
    <w:rsid w:val="00043654"/>
    <w:rsid w:val="000438AE"/>
    <w:rsid w:val="00045350"/>
    <w:rsid w:val="00045729"/>
    <w:rsid w:val="0004573A"/>
    <w:rsid w:val="000460B7"/>
    <w:rsid w:val="00046FBB"/>
    <w:rsid w:val="00047505"/>
    <w:rsid w:val="00047FD1"/>
    <w:rsid w:val="00050289"/>
    <w:rsid w:val="00051624"/>
    <w:rsid w:val="00051913"/>
    <w:rsid w:val="0005334A"/>
    <w:rsid w:val="0005368E"/>
    <w:rsid w:val="0005489D"/>
    <w:rsid w:val="000553F8"/>
    <w:rsid w:val="000555F6"/>
    <w:rsid w:val="000556C8"/>
    <w:rsid w:val="00055809"/>
    <w:rsid w:val="00055EAD"/>
    <w:rsid w:val="00056BF2"/>
    <w:rsid w:val="00057434"/>
    <w:rsid w:val="0006093E"/>
    <w:rsid w:val="0006130C"/>
    <w:rsid w:val="00061364"/>
    <w:rsid w:val="00061659"/>
    <w:rsid w:val="00061AF1"/>
    <w:rsid w:val="00061C36"/>
    <w:rsid w:val="00061DF3"/>
    <w:rsid w:val="00062D50"/>
    <w:rsid w:val="00062D66"/>
    <w:rsid w:val="00063135"/>
    <w:rsid w:val="000638AC"/>
    <w:rsid w:val="00063E5F"/>
    <w:rsid w:val="00065230"/>
    <w:rsid w:val="00065CB8"/>
    <w:rsid w:val="0006656D"/>
    <w:rsid w:val="00066A4E"/>
    <w:rsid w:val="00066AA7"/>
    <w:rsid w:val="0007009D"/>
    <w:rsid w:val="0007044A"/>
    <w:rsid w:val="000705E6"/>
    <w:rsid w:val="000716E4"/>
    <w:rsid w:val="00071AE8"/>
    <w:rsid w:val="00071DF2"/>
    <w:rsid w:val="00071E50"/>
    <w:rsid w:val="00072BC1"/>
    <w:rsid w:val="00074279"/>
    <w:rsid w:val="000752CF"/>
    <w:rsid w:val="000758B0"/>
    <w:rsid w:val="000759F8"/>
    <w:rsid w:val="000776C2"/>
    <w:rsid w:val="000808E6"/>
    <w:rsid w:val="00081F98"/>
    <w:rsid w:val="00082104"/>
    <w:rsid w:val="00083590"/>
    <w:rsid w:val="00083763"/>
    <w:rsid w:val="000864BC"/>
    <w:rsid w:val="00087877"/>
    <w:rsid w:val="00090B48"/>
    <w:rsid w:val="00090B58"/>
    <w:rsid w:val="00091195"/>
    <w:rsid w:val="0009190F"/>
    <w:rsid w:val="00091A68"/>
    <w:rsid w:val="00092F0D"/>
    <w:rsid w:val="00093030"/>
    <w:rsid w:val="00093B81"/>
    <w:rsid w:val="00094B52"/>
    <w:rsid w:val="00094CF2"/>
    <w:rsid w:val="00094E88"/>
    <w:rsid w:val="000957B7"/>
    <w:rsid w:val="00095E71"/>
    <w:rsid w:val="0009704F"/>
    <w:rsid w:val="000A076D"/>
    <w:rsid w:val="000A0AC6"/>
    <w:rsid w:val="000A0FB7"/>
    <w:rsid w:val="000A2D0C"/>
    <w:rsid w:val="000A2DE4"/>
    <w:rsid w:val="000A334F"/>
    <w:rsid w:val="000A35B8"/>
    <w:rsid w:val="000A452C"/>
    <w:rsid w:val="000A4B56"/>
    <w:rsid w:val="000A4E75"/>
    <w:rsid w:val="000A5CB6"/>
    <w:rsid w:val="000A726A"/>
    <w:rsid w:val="000B0A86"/>
    <w:rsid w:val="000B0B86"/>
    <w:rsid w:val="000B14AB"/>
    <w:rsid w:val="000B1622"/>
    <w:rsid w:val="000B19C6"/>
    <w:rsid w:val="000B2347"/>
    <w:rsid w:val="000B329F"/>
    <w:rsid w:val="000B33CF"/>
    <w:rsid w:val="000B3674"/>
    <w:rsid w:val="000B5C47"/>
    <w:rsid w:val="000B7A65"/>
    <w:rsid w:val="000C000A"/>
    <w:rsid w:val="000C0673"/>
    <w:rsid w:val="000C1B6F"/>
    <w:rsid w:val="000C1ECB"/>
    <w:rsid w:val="000C2433"/>
    <w:rsid w:val="000C2930"/>
    <w:rsid w:val="000C2D04"/>
    <w:rsid w:val="000C358B"/>
    <w:rsid w:val="000C3B9C"/>
    <w:rsid w:val="000C3D43"/>
    <w:rsid w:val="000C4796"/>
    <w:rsid w:val="000C4F8E"/>
    <w:rsid w:val="000C50DB"/>
    <w:rsid w:val="000C5965"/>
    <w:rsid w:val="000C5D47"/>
    <w:rsid w:val="000C6499"/>
    <w:rsid w:val="000C79FE"/>
    <w:rsid w:val="000D138E"/>
    <w:rsid w:val="000D1C49"/>
    <w:rsid w:val="000D1D93"/>
    <w:rsid w:val="000D1FFB"/>
    <w:rsid w:val="000D2562"/>
    <w:rsid w:val="000D2692"/>
    <w:rsid w:val="000D344A"/>
    <w:rsid w:val="000D49D6"/>
    <w:rsid w:val="000D4DA4"/>
    <w:rsid w:val="000D5B28"/>
    <w:rsid w:val="000D5EC8"/>
    <w:rsid w:val="000D6B7D"/>
    <w:rsid w:val="000D6C26"/>
    <w:rsid w:val="000D6C67"/>
    <w:rsid w:val="000D6EBC"/>
    <w:rsid w:val="000D7366"/>
    <w:rsid w:val="000D74E8"/>
    <w:rsid w:val="000E0103"/>
    <w:rsid w:val="000E07FB"/>
    <w:rsid w:val="000E0B02"/>
    <w:rsid w:val="000E0E8A"/>
    <w:rsid w:val="000E26F6"/>
    <w:rsid w:val="000E34A0"/>
    <w:rsid w:val="000E35CF"/>
    <w:rsid w:val="000E5220"/>
    <w:rsid w:val="000E53AC"/>
    <w:rsid w:val="000E5D19"/>
    <w:rsid w:val="000E67B5"/>
    <w:rsid w:val="000E7930"/>
    <w:rsid w:val="000E7A72"/>
    <w:rsid w:val="000F07E2"/>
    <w:rsid w:val="000F0987"/>
    <w:rsid w:val="000F135E"/>
    <w:rsid w:val="000F155E"/>
    <w:rsid w:val="000F19CD"/>
    <w:rsid w:val="000F1EB6"/>
    <w:rsid w:val="000F229D"/>
    <w:rsid w:val="000F2BF0"/>
    <w:rsid w:val="000F2C9C"/>
    <w:rsid w:val="000F31A0"/>
    <w:rsid w:val="000F35DC"/>
    <w:rsid w:val="000F38A0"/>
    <w:rsid w:val="000F47E7"/>
    <w:rsid w:val="000F5C26"/>
    <w:rsid w:val="000F6407"/>
    <w:rsid w:val="000F65AD"/>
    <w:rsid w:val="000F7CFA"/>
    <w:rsid w:val="00100E8B"/>
    <w:rsid w:val="0010166B"/>
    <w:rsid w:val="00101DD2"/>
    <w:rsid w:val="001032A6"/>
    <w:rsid w:val="00103358"/>
    <w:rsid w:val="00104580"/>
    <w:rsid w:val="00105A7A"/>
    <w:rsid w:val="00105F87"/>
    <w:rsid w:val="00106466"/>
    <w:rsid w:val="001064D1"/>
    <w:rsid w:val="00106FE4"/>
    <w:rsid w:val="00107483"/>
    <w:rsid w:val="00110676"/>
    <w:rsid w:val="001107BA"/>
    <w:rsid w:val="00110C0F"/>
    <w:rsid w:val="001111D0"/>
    <w:rsid w:val="0011154A"/>
    <w:rsid w:val="00111D18"/>
    <w:rsid w:val="00111E66"/>
    <w:rsid w:val="001120B2"/>
    <w:rsid w:val="001128F3"/>
    <w:rsid w:val="00112D2E"/>
    <w:rsid w:val="0011311C"/>
    <w:rsid w:val="0011438F"/>
    <w:rsid w:val="00114D86"/>
    <w:rsid w:val="001155FF"/>
    <w:rsid w:val="00115CEB"/>
    <w:rsid w:val="00116A87"/>
    <w:rsid w:val="00116A9C"/>
    <w:rsid w:val="00116F1D"/>
    <w:rsid w:val="00116F59"/>
    <w:rsid w:val="001177AF"/>
    <w:rsid w:val="00120C91"/>
    <w:rsid w:val="00121828"/>
    <w:rsid w:val="00121BCC"/>
    <w:rsid w:val="00121C1B"/>
    <w:rsid w:val="00122BB0"/>
    <w:rsid w:val="00122ECD"/>
    <w:rsid w:val="0012318F"/>
    <w:rsid w:val="0012358E"/>
    <w:rsid w:val="00124001"/>
    <w:rsid w:val="0012453B"/>
    <w:rsid w:val="001267CE"/>
    <w:rsid w:val="00127355"/>
    <w:rsid w:val="001277E0"/>
    <w:rsid w:val="001301F1"/>
    <w:rsid w:val="001301F3"/>
    <w:rsid w:val="0013043B"/>
    <w:rsid w:val="00132C91"/>
    <w:rsid w:val="0013452A"/>
    <w:rsid w:val="00134ED7"/>
    <w:rsid w:val="001352B7"/>
    <w:rsid w:val="00136006"/>
    <w:rsid w:val="00136B36"/>
    <w:rsid w:val="00136EAB"/>
    <w:rsid w:val="00137A18"/>
    <w:rsid w:val="00137E85"/>
    <w:rsid w:val="00140D6A"/>
    <w:rsid w:val="001410B1"/>
    <w:rsid w:val="00141128"/>
    <w:rsid w:val="00142337"/>
    <w:rsid w:val="0014266F"/>
    <w:rsid w:val="00144774"/>
    <w:rsid w:val="00145238"/>
    <w:rsid w:val="001468BF"/>
    <w:rsid w:val="0014691B"/>
    <w:rsid w:val="00146CF7"/>
    <w:rsid w:val="001470F5"/>
    <w:rsid w:val="00147717"/>
    <w:rsid w:val="001504C0"/>
    <w:rsid w:val="0015076B"/>
    <w:rsid w:val="00150CE4"/>
    <w:rsid w:val="00151CDB"/>
    <w:rsid w:val="00151E42"/>
    <w:rsid w:val="0015204A"/>
    <w:rsid w:val="001529DC"/>
    <w:rsid w:val="00153202"/>
    <w:rsid w:val="00153C96"/>
    <w:rsid w:val="00153DA7"/>
    <w:rsid w:val="0015447B"/>
    <w:rsid w:val="0015497F"/>
    <w:rsid w:val="00154D8F"/>
    <w:rsid w:val="00155219"/>
    <w:rsid w:val="00155E62"/>
    <w:rsid w:val="00156992"/>
    <w:rsid w:val="00156E82"/>
    <w:rsid w:val="001574DE"/>
    <w:rsid w:val="00157C4E"/>
    <w:rsid w:val="00157DF7"/>
    <w:rsid w:val="00157F65"/>
    <w:rsid w:val="00160E77"/>
    <w:rsid w:val="001615A1"/>
    <w:rsid w:val="001619DD"/>
    <w:rsid w:val="00162250"/>
    <w:rsid w:val="00163474"/>
    <w:rsid w:val="00163568"/>
    <w:rsid w:val="0016378A"/>
    <w:rsid w:val="00164C9E"/>
    <w:rsid w:val="00165CE7"/>
    <w:rsid w:val="00166003"/>
    <w:rsid w:val="00166336"/>
    <w:rsid w:val="00166CF0"/>
    <w:rsid w:val="00167390"/>
    <w:rsid w:val="00167D9A"/>
    <w:rsid w:val="00167E98"/>
    <w:rsid w:val="001700F6"/>
    <w:rsid w:val="00171282"/>
    <w:rsid w:val="00171464"/>
    <w:rsid w:val="00173242"/>
    <w:rsid w:val="00173C8C"/>
    <w:rsid w:val="00174A3C"/>
    <w:rsid w:val="00174D07"/>
    <w:rsid w:val="00176118"/>
    <w:rsid w:val="001769DD"/>
    <w:rsid w:val="00177B43"/>
    <w:rsid w:val="00177C73"/>
    <w:rsid w:val="00180192"/>
    <w:rsid w:val="00180A22"/>
    <w:rsid w:val="00180B0C"/>
    <w:rsid w:val="0018119D"/>
    <w:rsid w:val="00181AAB"/>
    <w:rsid w:val="00182A62"/>
    <w:rsid w:val="0018653E"/>
    <w:rsid w:val="00186E3A"/>
    <w:rsid w:val="00187D42"/>
    <w:rsid w:val="001902D7"/>
    <w:rsid w:val="001903AC"/>
    <w:rsid w:val="00190D39"/>
    <w:rsid w:val="00191D58"/>
    <w:rsid w:val="0019290E"/>
    <w:rsid w:val="0019319D"/>
    <w:rsid w:val="001932F8"/>
    <w:rsid w:val="001949B8"/>
    <w:rsid w:val="001955B7"/>
    <w:rsid w:val="001955DA"/>
    <w:rsid w:val="001957F4"/>
    <w:rsid w:val="00195FA2"/>
    <w:rsid w:val="001967A0"/>
    <w:rsid w:val="00196B58"/>
    <w:rsid w:val="001971F6"/>
    <w:rsid w:val="00197755"/>
    <w:rsid w:val="001A0611"/>
    <w:rsid w:val="001A2FAE"/>
    <w:rsid w:val="001A3654"/>
    <w:rsid w:val="001A3A2B"/>
    <w:rsid w:val="001A3E45"/>
    <w:rsid w:val="001A4064"/>
    <w:rsid w:val="001A4A4E"/>
    <w:rsid w:val="001A4B13"/>
    <w:rsid w:val="001A5B04"/>
    <w:rsid w:val="001A61C6"/>
    <w:rsid w:val="001A7EB3"/>
    <w:rsid w:val="001B0471"/>
    <w:rsid w:val="001B07AC"/>
    <w:rsid w:val="001B0A8A"/>
    <w:rsid w:val="001B0B53"/>
    <w:rsid w:val="001B1393"/>
    <w:rsid w:val="001B1A1D"/>
    <w:rsid w:val="001B1D05"/>
    <w:rsid w:val="001B2714"/>
    <w:rsid w:val="001B279A"/>
    <w:rsid w:val="001B3F98"/>
    <w:rsid w:val="001B4301"/>
    <w:rsid w:val="001B4A11"/>
    <w:rsid w:val="001B61B5"/>
    <w:rsid w:val="001B6965"/>
    <w:rsid w:val="001B7609"/>
    <w:rsid w:val="001B788B"/>
    <w:rsid w:val="001B7D96"/>
    <w:rsid w:val="001C0224"/>
    <w:rsid w:val="001C0E4D"/>
    <w:rsid w:val="001C34EA"/>
    <w:rsid w:val="001C4036"/>
    <w:rsid w:val="001C4F22"/>
    <w:rsid w:val="001C5E97"/>
    <w:rsid w:val="001C63C2"/>
    <w:rsid w:val="001C6C11"/>
    <w:rsid w:val="001C722D"/>
    <w:rsid w:val="001C7867"/>
    <w:rsid w:val="001D0630"/>
    <w:rsid w:val="001D0C5F"/>
    <w:rsid w:val="001D0E8F"/>
    <w:rsid w:val="001D0F31"/>
    <w:rsid w:val="001D1397"/>
    <w:rsid w:val="001D148F"/>
    <w:rsid w:val="001D1567"/>
    <w:rsid w:val="001D3788"/>
    <w:rsid w:val="001D38FB"/>
    <w:rsid w:val="001D3ABF"/>
    <w:rsid w:val="001D4506"/>
    <w:rsid w:val="001D4CCC"/>
    <w:rsid w:val="001D51C8"/>
    <w:rsid w:val="001D5B24"/>
    <w:rsid w:val="001D6D7A"/>
    <w:rsid w:val="001D6E75"/>
    <w:rsid w:val="001D7201"/>
    <w:rsid w:val="001D78B9"/>
    <w:rsid w:val="001D7D2B"/>
    <w:rsid w:val="001E0A8A"/>
    <w:rsid w:val="001E0D5F"/>
    <w:rsid w:val="001E110A"/>
    <w:rsid w:val="001E1AB8"/>
    <w:rsid w:val="001E2E3E"/>
    <w:rsid w:val="001E3593"/>
    <w:rsid w:val="001E363D"/>
    <w:rsid w:val="001E3FBA"/>
    <w:rsid w:val="001E4041"/>
    <w:rsid w:val="001E44DA"/>
    <w:rsid w:val="001E4B07"/>
    <w:rsid w:val="001E4D21"/>
    <w:rsid w:val="001E4E8B"/>
    <w:rsid w:val="001E5188"/>
    <w:rsid w:val="001E5551"/>
    <w:rsid w:val="001E5723"/>
    <w:rsid w:val="001E5ECF"/>
    <w:rsid w:val="001E66F7"/>
    <w:rsid w:val="001E717C"/>
    <w:rsid w:val="001E72CF"/>
    <w:rsid w:val="001F011B"/>
    <w:rsid w:val="001F048C"/>
    <w:rsid w:val="001F0563"/>
    <w:rsid w:val="001F05E4"/>
    <w:rsid w:val="001F06A3"/>
    <w:rsid w:val="001F23CC"/>
    <w:rsid w:val="001F24F2"/>
    <w:rsid w:val="001F2B0A"/>
    <w:rsid w:val="001F376B"/>
    <w:rsid w:val="001F39AB"/>
    <w:rsid w:val="001F3BA7"/>
    <w:rsid w:val="001F44BC"/>
    <w:rsid w:val="001F4851"/>
    <w:rsid w:val="001F4E3B"/>
    <w:rsid w:val="001F5601"/>
    <w:rsid w:val="001F59A0"/>
    <w:rsid w:val="001F5BDA"/>
    <w:rsid w:val="001F6341"/>
    <w:rsid w:val="001F72AE"/>
    <w:rsid w:val="00200484"/>
    <w:rsid w:val="00200800"/>
    <w:rsid w:val="002025AA"/>
    <w:rsid w:val="00202A4F"/>
    <w:rsid w:val="00202D3D"/>
    <w:rsid w:val="00202DB5"/>
    <w:rsid w:val="00203152"/>
    <w:rsid w:val="00203326"/>
    <w:rsid w:val="00206051"/>
    <w:rsid w:val="00206897"/>
    <w:rsid w:val="0020695D"/>
    <w:rsid w:val="00206E01"/>
    <w:rsid w:val="0020740D"/>
    <w:rsid w:val="00207451"/>
    <w:rsid w:val="0021103A"/>
    <w:rsid w:val="00211183"/>
    <w:rsid w:val="00211B2F"/>
    <w:rsid w:val="00211BE6"/>
    <w:rsid w:val="00211CDB"/>
    <w:rsid w:val="0021286E"/>
    <w:rsid w:val="00212D16"/>
    <w:rsid w:val="00212DD8"/>
    <w:rsid w:val="00213222"/>
    <w:rsid w:val="00213519"/>
    <w:rsid w:val="00213760"/>
    <w:rsid w:val="00213AB3"/>
    <w:rsid w:val="00214318"/>
    <w:rsid w:val="00215273"/>
    <w:rsid w:val="002153BE"/>
    <w:rsid w:val="002154F1"/>
    <w:rsid w:val="00216236"/>
    <w:rsid w:val="0021627C"/>
    <w:rsid w:val="0021643B"/>
    <w:rsid w:val="00216547"/>
    <w:rsid w:val="00216A0D"/>
    <w:rsid w:val="00216E36"/>
    <w:rsid w:val="00217060"/>
    <w:rsid w:val="0021789B"/>
    <w:rsid w:val="002206F1"/>
    <w:rsid w:val="00220E58"/>
    <w:rsid w:val="00220FE6"/>
    <w:rsid w:val="002211A4"/>
    <w:rsid w:val="00221C8A"/>
    <w:rsid w:val="002227CF"/>
    <w:rsid w:val="002237D2"/>
    <w:rsid w:val="002240B6"/>
    <w:rsid w:val="00224E5F"/>
    <w:rsid w:val="00225247"/>
    <w:rsid w:val="00225C52"/>
    <w:rsid w:val="002271BF"/>
    <w:rsid w:val="00227BBD"/>
    <w:rsid w:val="00230768"/>
    <w:rsid w:val="002324E6"/>
    <w:rsid w:val="00233E3E"/>
    <w:rsid w:val="00234290"/>
    <w:rsid w:val="002349CF"/>
    <w:rsid w:val="0023571D"/>
    <w:rsid w:val="00235FD7"/>
    <w:rsid w:val="00236198"/>
    <w:rsid w:val="00236ABA"/>
    <w:rsid w:val="002370C1"/>
    <w:rsid w:val="00237E71"/>
    <w:rsid w:val="002410F1"/>
    <w:rsid w:val="00244E09"/>
    <w:rsid w:val="00245554"/>
    <w:rsid w:val="0024612E"/>
    <w:rsid w:val="00246D71"/>
    <w:rsid w:val="00247420"/>
    <w:rsid w:val="0024755F"/>
    <w:rsid w:val="00250CFE"/>
    <w:rsid w:val="0025178D"/>
    <w:rsid w:val="00251A2C"/>
    <w:rsid w:val="0025286B"/>
    <w:rsid w:val="00253DCF"/>
    <w:rsid w:val="0025403C"/>
    <w:rsid w:val="002551BC"/>
    <w:rsid w:val="00255507"/>
    <w:rsid w:val="002559B0"/>
    <w:rsid w:val="002559EF"/>
    <w:rsid w:val="002562A0"/>
    <w:rsid w:val="00256AA1"/>
    <w:rsid w:val="002571D3"/>
    <w:rsid w:val="0025776F"/>
    <w:rsid w:val="00257F5B"/>
    <w:rsid w:val="002601A3"/>
    <w:rsid w:val="002601F6"/>
    <w:rsid w:val="00260EC9"/>
    <w:rsid w:val="00261838"/>
    <w:rsid w:val="00261ABC"/>
    <w:rsid w:val="00261EE5"/>
    <w:rsid w:val="00262E6D"/>
    <w:rsid w:val="002631BE"/>
    <w:rsid w:val="00263289"/>
    <w:rsid w:val="00263CC1"/>
    <w:rsid w:val="00263D45"/>
    <w:rsid w:val="00264D53"/>
    <w:rsid w:val="002655AA"/>
    <w:rsid w:val="00266AA4"/>
    <w:rsid w:val="00266B04"/>
    <w:rsid w:val="00266F73"/>
    <w:rsid w:val="002676D2"/>
    <w:rsid w:val="00267838"/>
    <w:rsid w:val="00267B2D"/>
    <w:rsid w:val="00270EFF"/>
    <w:rsid w:val="00272638"/>
    <w:rsid w:val="00272C25"/>
    <w:rsid w:val="0027318E"/>
    <w:rsid w:val="00273DC7"/>
    <w:rsid w:val="0027458F"/>
    <w:rsid w:val="002748EE"/>
    <w:rsid w:val="00274F59"/>
    <w:rsid w:val="002751BE"/>
    <w:rsid w:val="00276A6E"/>
    <w:rsid w:val="00276B60"/>
    <w:rsid w:val="00276E99"/>
    <w:rsid w:val="00276EF8"/>
    <w:rsid w:val="0027704B"/>
    <w:rsid w:val="00277ACA"/>
    <w:rsid w:val="00277DAC"/>
    <w:rsid w:val="00280050"/>
    <w:rsid w:val="00280315"/>
    <w:rsid w:val="00281402"/>
    <w:rsid w:val="0028304A"/>
    <w:rsid w:val="00284125"/>
    <w:rsid w:val="0028415E"/>
    <w:rsid w:val="00284A77"/>
    <w:rsid w:val="002857E9"/>
    <w:rsid w:val="00285AAD"/>
    <w:rsid w:val="00286A60"/>
    <w:rsid w:val="00286F48"/>
    <w:rsid w:val="002873EA"/>
    <w:rsid w:val="00290B5B"/>
    <w:rsid w:val="00290D82"/>
    <w:rsid w:val="002918CD"/>
    <w:rsid w:val="00291C79"/>
    <w:rsid w:val="00291D04"/>
    <w:rsid w:val="00293AC5"/>
    <w:rsid w:val="00294DD4"/>
    <w:rsid w:val="0029510B"/>
    <w:rsid w:val="002951C3"/>
    <w:rsid w:val="00295D92"/>
    <w:rsid w:val="00296501"/>
    <w:rsid w:val="00296845"/>
    <w:rsid w:val="002973DD"/>
    <w:rsid w:val="0029776D"/>
    <w:rsid w:val="00297A14"/>
    <w:rsid w:val="00297B82"/>
    <w:rsid w:val="002A00EA"/>
    <w:rsid w:val="002A0347"/>
    <w:rsid w:val="002A0C0E"/>
    <w:rsid w:val="002A0EB2"/>
    <w:rsid w:val="002A1691"/>
    <w:rsid w:val="002A2143"/>
    <w:rsid w:val="002A2EEF"/>
    <w:rsid w:val="002A41F2"/>
    <w:rsid w:val="002A4E1C"/>
    <w:rsid w:val="002A5C86"/>
    <w:rsid w:val="002A67C7"/>
    <w:rsid w:val="002A7113"/>
    <w:rsid w:val="002A7B73"/>
    <w:rsid w:val="002B013E"/>
    <w:rsid w:val="002B017E"/>
    <w:rsid w:val="002B0344"/>
    <w:rsid w:val="002B15B7"/>
    <w:rsid w:val="002B2619"/>
    <w:rsid w:val="002B2988"/>
    <w:rsid w:val="002B2DC4"/>
    <w:rsid w:val="002B36E9"/>
    <w:rsid w:val="002B3972"/>
    <w:rsid w:val="002B40CC"/>
    <w:rsid w:val="002B4205"/>
    <w:rsid w:val="002B471B"/>
    <w:rsid w:val="002B4869"/>
    <w:rsid w:val="002B4B61"/>
    <w:rsid w:val="002B5528"/>
    <w:rsid w:val="002B6938"/>
    <w:rsid w:val="002B6F40"/>
    <w:rsid w:val="002B7097"/>
    <w:rsid w:val="002C0615"/>
    <w:rsid w:val="002C15B3"/>
    <w:rsid w:val="002C1A68"/>
    <w:rsid w:val="002C20A4"/>
    <w:rsid w:val="002C2139"/>
    <w:rsid w:val="002C3C63"/>
    <w:rsid w:val="002C47AC"/>
    <w:rsid w:val="002C527C"/>
    <w:rsid w:val="002C595A"/>
    <w:rsid w:val="002C6020"/>
    <w:rsid w:val="002C60D1"/>
    <w:rsid w:val="002C7B22"/>
    <w:rsid w:val="002D0454"/>
    <w:rsid w:val="002D1009"/>
    <w:rsid w:val="002D25E2"/>
    <w:rsid w:val="002D2B15"/>
    <w:rsid w:val="002D2B50"/>
    <w:rsid w:val="002D2E04"/>
    <w:rsid w:val="002D324D"/>
    <w:rsid w:val="002D32B9"/>
    <w:rsid w:val="002D402E"/>
    <w:rsid w:val="002D4065"/>
    <w:rsid w:val="002D4FA1"/>
    <w:rsid w:val="002D70B9"/>
    <w:rsid w:val="002D779F"/>
    <w:rsid w:val="002D7E97"/>
    <w:rsid w:val="002E1047"/>
    <w:rsid w:val="002E14D1"/>
    <w:rsid w:val="002E22B4"/>
    <w:rsid w:val="002E2474"/>
    <w:rsid w:val="002E360B"/>
    <w:rsid w:val="002E36CC"/>
    <w:rsid w:val="002E3872"/>
    <w:rsid w:val="002E4CF5"/>
    <w:rsid w:val="002E56D2"/>
    <w:rsid w:val="002E57CA"/>
    <w:rsid w:val="002E5C65"/>
    <w:rsid w:val="002E5E15"/>
    <w:rsid w:val="002E6822"/>
    <w:rsid w:val="002E72CC"/>
    <w:rsid w:val="002E762B"/>
    <w:rsid w:val="002E7F6A"/>
    <w:rsid w:val="002F0BA0"/>
    <w:rsid w:val="002F0EDF"/>
    <w:rsid w:val="002F1412"/>
    <w:rsid w:val="002F29A3"/>
    <w:rsid w:val="002F3ADA"/>
    <w:rsid w:val="002F3B48"/>
    <w:rsid w:val="002F48E1"/>
    <w:rsid w:val="002F499E"/>
    <w:rsid w:val="002F5A9B"/>
    <w:rsid w:val="002F64FB"/>
    <w:rsid w:val="002F67BD"/>
    <w:rsid w:val="0030056D"/>
    <w:rsid w:val="00300D30"/>
    <w:rsid w:val="00300E3D"/>
    <w:rsid w:val="00301141"/>
    <w:rsid w:val="003013E8"/>
    <w:rsid w:val="00301592"/>
    <w:rsid w:val="00301751"/>
    <w:rsid w:val="0030210F"/>
    <w:rsid w:val="00302D54"/>
    <w:rsid w:val="003031F4"/>
    <w:rsid w:val="0030409C"/>
    <w:rsid w:val="003040F6"/>
    <w:rsid w:val="00304405"/>
    <w:rsid w:val="003052F3"/>
    <w:rsid w:val="003057C2"/>
    <w:rsid w:val="00305AE2"/>
    <w:rsid w:val="00305C76"/>
    <w:rsid w:val="003066B0"/>
    <w:rsid w:val="00307A67"/>
    <w:rsid w:val="00311945"/>
    <w:rsid w:val="00311972"/>
    <w:rsid w:val="00312DB6"/>
    <w:rsid w:val="003131BD"/>
    <w:rsid w:val="00314640"/>
    <w:rsid w:val="00314BA1"/>
    <w:rsid w:val="003177A8"/>
    <w:rsid w:val="003178EA"/>
    <w:rsid w:val="00317919"/>
    <w:rsid w:val="0032001B"/>
    <w:rsid w:val="00320D35"/>
    <w:rsid w:val="00320F33"/>
    <w:rsid w:val="00321C16"/>
    <w:rsid w:val="00321D95"/>
    <w:rsid w:val="00322308"/>
    <w:rsid w:val="00322C81"/>
    <w:rsid w:val="003233ED"/>
    <w:rsid w:val="00323689"/>
    <w:rsid w:val="00323A64"/>
    <w:rsid w:val="00323A7E"/>
    <w:rsid w:val="00323AAA"/>
    <w:rsid w:val="00323B2B"/>
    <w:rsid w:val="00323B82"/>
    <w:rsid w:val="00323DEC"/>
    <w:rsid w:val="00324950"/>
    <w:rsid w:val="003250B4"/>
    <w:rsid w:val="00325C45"/>
    <w:rsid w:val="00326040"/>
    <w:rsid w:val="00326505"/>
    <w:rsid w:val="00326582"/>
    <w:rsid w:val="003267EC"/>
    <w:rsid w:val="00326E48"/>
    <w:rsid w:val="00326F15"/>
    <w:rsid w:val="0032760E"/>
    <w:rsid w:val="003279E1"/>
    <w:rsid w:val="00327B02"/>
    <w:rsid w:val="003303F5"/>
    <w:rsid w:val="00330629"/>
    <w:rsid w:val="00330762"/>
    <w:rsid w:val="00330BC9"/>
    <w:rsid w:val="00331306"/>
    <w:rsid w:val="003314C1"/>
    <w:rsid w:val="003317D1"/>
    <w:rsid w:val="00331864"/>
    <w:rsid w:val="00331C10"/>
    <w:rsid w:val="00331DBC"/>
    <w:rsid w:val="00331ECD"/>
    <w:rsid w:val="003331B0"/>
    <w:rsid w:val="003338C9"/>
    <w:rsid w:val="00333A45"/>
    <w:rsid w:val="00334153"/>
    <w:rsid w:val="003353B0"/>
    <w:rsid w:val="003363A2"/>
    <w:rsid w:val="00336B87"/>
    <w:rsid w:val="0033795E"/>
    <w:rsid w:val="00337BD8"/>
    <w:rsid w:val="0034016E"/>
    <w:rsid w:val="003412CF"/>
    <w:rsid w:val="00342FF9"/>
    <w:rsid w:val="0034313B"/>
    <w:rsid w:val="003437F2"/>
    <w:rsid w:val="0034384B"/>
    <w:rsid w:val="00343A04"/>
    <w:rsid w:val="00343E0C"/>
    <w:rsid w:val="00345A8C"/>
    <w:rsid w:val="00345F15"/>
    <w:rsid w:val="00346A47"/>
    <w:rsid w:val="00347423"/>
    <w:rsid w:val="00347E4D"/>
    <w:rsid w:val="003506B2"/>
    <w:rsid w:val="00351537"/>
    <w:rsid w:val="003517CD"/>
    <w:rsid w:val="00353C23"/>
    <w:rsid w:val="003540BB"/>
    <w:rsid w:val="003540D7"/>
    <w:rsid w:val="003549FC"/>
    <w:rsid w:val="00355118"/>
    <w:rsid w:val="00355568"/>
    <w:rsid w:val="00356989"/>
    <w:rsid w:val="00357BA9"/>
    <w:rsid w:val="003608AD"/>
    <w:rsid w:val="0036138D"/>
    <w:rsid w:val="0036140F"/>
    <w:rsid w:val="003618D3"/>
    <w:rsid w:val="00362C11"/>
    <w:rsid w:val="00363097"/>
    <w:rsid w:val="0036341B"/>
    <w:rsid w:val="0036427C"/>
    <w:rsid w:val="00365D77"/>
    <w:rsid w:val="00365EC6"/>
    <w:rsid w:val="0036611B"/>
    <w:rsid w:val="00366923"/>
    <w:rsid w:val="00366F84"/>
    <w:rsid w:val="00367A5A"/>
    <w:rsid w:val="00367F64"/>
    <w:rsid w:val="00367F99"/>
    <w:rsid w:val="00370914"/>
    <w:rsid w:val="00371B1E"/>
    <w:rsid w:val="00371FE0"/>
    <w:rsid w:val="00372B00"/>
    <w:rsid w:val="00373E13"/>
    <w:rsid w:val="00374676"/>
    <w:rsid w:val="0037502F"/>
    <w:rsid w:val="0037550F"/>
    <w:rsid w:val="00375E0B"/>
    <w:rsid w:val="0037632F"/>
    <w:rsid w:val="0037681F"/>
    <w:rsid w:val="00377B16"/>
    <w:rsid w:val="00381121"/>
    <w:rsid w:val="003817B7"/>
    <w:rsid w:val="003835E0"/>
    <w:rsid w:val="00383934"/>
    <w:rsid w:val="00384434"/>
    <w:rsid w:val="00384594"/>
    <w:rsid w:val="00384824"/>
    <w:rsid w:val="00385CBC"/>
    <w:rsid w:val="00385DE2"/>
    <w:rsid w:val="00386389"/>
    <w:rsid w:val="00386816"/>
    <w:rsid w:val="003875A5"/>
    <w:rsid w:val="00391334"/>
    <w:rsid w:val="0039133C"/>
    <w:rsid w:val="003916D6"/>
    <w:rsid w:val="00391DAC"/>
    <w:rsid w:val="0039230B"/>
    <w:rsid w:val="0039261C"/>
    <w:rsid w:val="003938D9"/>
    <w:rsid w:val="00393B2F"/>
    <w:rsid w:val="003943F2"/>
    <w:rsid w:val="003944F6"/>
    <w:rsid w:val="0039624C"/>
    <w:rsid w:val="00396C52"/>
    <w:rsid w:val="00396E99"/>
    <w:rsid w:val="003971DB"/>
    <w:rsid w:val="00397612"/>
    <w:rsid w:val="00397907"/>
    <w:rsid w:val="003A0265"/>
    <w:rsid w:val="003A1429"/>
    <w:rsid w:val="003A1582"/>
    <w:rsid w:val="003A1A1B"/>
    <w:rsid w:val="003A1A66"/>
    <w:rsid w:val="003A3EDB"/>
    <w:rsid w:val="003A4034"/>
    <w:rsid w:val="003A4E0D"/>
    <w:rsid w:val="003A5BF4"/>
    <w:rsid w:val="003A7770"/>
    <w:rsid w:val="003A7862"/>
    <w:rsid w:val="003B02C8"/>
    <w:rsid w:val="003B1F51"/>
    <w:rsid w:val="003B213E"/>
    <w:rsid w:val="003B25D9"/>
    <w:rsid w:val="003B46C5"/>
    <w:rsid w:val="003B4CE0"/>
    <w:rsid w:val="003B4DE1"/>
    <w:rsid w:val="003B5089"/>
    <w:rsid w:val="003B6B2E"/>
    <w:rsid w:val="003C001E"/>
    <w:rsid w:val="003C1F00"/>
    <w:rsid w:val="003C3648"/>
    <w:rsid w:val="003C3EE8"/>
    <w:rsid w:val="003C4DA1"/>
    <w:rsid w:val="003C61B4"/>
    <w:rsid w:val="003C6845"/>
    <w:rsid w:val="003C6CB9"/>
    <w:rsid w:val="003C6FBB"/>
    <w:rsid w:val="003C7B03"/>
    <w:rsid w:val="003D0398"/>
    <w:rsid w:val="003D0426"/>
    <w:rsid w:val="003D0592"/>
    <w:rsid w:val="003D0B92"/>
    <w:rsid w:val="003D16BA"/>
    <w:rsid w:val="003D391F"/>
    <w:rsid w:val="003D3AE0"/>
    <w:rsid w:val="003D4E9C"/>
    <w:rsid w:val="003D6C1F"/>
    <w:rsid w:val="003D6C8A"/>
    <w:rsid w:val="003D73BB"/>
    <w:rsid w:val="003D7BE9"/>
    <w:rsid w:val="003E0055"/>
    <w:rsid w:val="003E0374"/>
    <w:rsid w:val="003E04C3"/>
    <w:rsid w:val="003E051E"/>
    <w:rsid w:val="003E0753"/>
    <w:rsid w:val="003E0846"/>
    <w:rsid w:val="003E0EE6"/>
    <w:rsid w:val="003E1F79"/>
    <w:rsid w:val="003E4157"/>
    <w:rsid w:val="003E42AD"/>
    <w:rsid w:val="003E5A65"/>
    <w:rsid w:val="003E5CB0"/>
    <w:rsid w:val="003E6579"/>
    <w:rsid w:val="003E6CB0"/>
    <w:rsid w:val="003E6DF5"/>
    <w:rsid w:val="003E7AB1"/>
    <w:rsid w:val="003E7F9D"/>
    <w:rsid w:val="003F00CC"/>
    <w:rsid w:val="003F0A29"/>
    <w:rsid w:val="003F0CB9"/>
    <w:rsid w:val="003F0E84"/>
    <w:rsid w:val="003F1042"/>
    <w:rsid w:val="003F1209"/>
    <w:rsid w:val="003F146F"/>
    <w:rsid w:val="003F1998"/>
    <w:rsid w:val="003F1DB6"/>
    <w:rsid w:val="003F21A0"/>
    <w:rsid w:val="003F231A"/>
    <w:rsid w:val="003F2894"/>
    <w:rsid w:val="003F549E"/>
    <w:rsid w:val="003F5A6A"/>
    <w:rsid w:val="003F6FD0"/>
    <w:rsid w:val="00400A65"/>
    <w:rsid w:val="0040154C"/>
    <w:rsid w:val="004018AC"/>
    <w:rsid w:val="00401DBC"/>
    <w:rsid w:val="004036C0"/>
    <w:rsid w:val="0040448E"/>
    <w:rsid w:val="004050FC"/>
    <w:rsid w:val="004052D4"/>
    <w:rsid w:val="004052F9"/>
    <w:rsid w:val="00405D15"/>
    <w:rsid w:val="0040638F"/>
    <w:rsid w:val="00406881"/>
    <w:rsid w:val="00407240"/>
    <w:rsid w:val="004075B0"/>
    <w:rsid w:val="00407865"/>
    <w:rsid w:val="00407C8A"/>
    <w:rsid w:val="00407ED1"/>
    <w:rsid w:val="004101C2"/>
    <w:rsid w:val="0041209E"/>
    <w:rsid w:val="00412755"/>
    <w:rsid w:val="00412A6E"/>
    <w:rsid w:val="00413590"/>
    <w:rsid w:val="00413717"/>
    <w:rsid w:val="00414741"/>
    <w:rsid w:val="00414C2F"/>
    <w:rsid w:val="00415928"/>
    <w:rsid w:val="00416304"/>
    <w:rsid w:val="0041647C"/>
    <w:rsid w:val="0041764E"/>
    <w:rsid w:val="004177DA"/>
    <w:rsid w:val="0041783D"/>
    <w:rsid w:val="0041793F"/>
    <w:rsid w:val="004179E6"/>
    <w:rsid w:val="00420E00"/>
    <w:rsid w:val="00421456"/>
    <w:rsid w:val="00421E52"/>
    <w:rsid w:val="004233FE"/>
    <w:rsid w:val="0042376D"/>
    <w:rsid w:val="0042515B"/>
    <w:rsid w:val="00425227"/>
    <w:rsid w:val="004253D7"/>
    <w:rsid w:val="00425832"/>
    <w:rsid w:val="004258BC"/>
    <w:rsid w:val="00425AB7"/>
    <w:rsid w:val="00425B2F"/>
    <w:rsid w:val="00425FB8"/>
    <w:rsid w:val="0042728A"/>
    <w:rsid w:val="00427326"/>
    <w:rsid w:val="0042781D"/>
    <w:rsid w:val="004278CF"/>
    <w:rsid w:val="0043038D"/>
    <w:rsid w:val="0043052D"/>
    <w:rsid w:val="00430C25"/>
    <w:rsid w:val="0043133F"/>
    <w:rsid w:val="004322E4"/>
    <w:rsid w:val="0043271B"/>
    <w:rsid w:val="00432CFE"/>
    <w:rsid w:val="00432D3D"/>
    <w:rsid w:val="004342AE"/>
    <w:rsid w:val="00434C40"/>
    <w:rsid w:val="00435B7B"/>
    <w:rsid w:val="004363C5"/>
    <w:rsid w:val="00436E9F"/>
    <w:rsid w:val="004409E6"/>
    <w:rsid w:val="00440D28"/>
    <w:rsid w:val="00440E2F"/>
    <w:rsid w:val="004418DC"/>
    <w:rsid w:val="004444D6"/>
    <w:rsid w:val="00445EEE"/>
    <w:rsid w:val="004466BC"/>
    <w:rsid w:val="0044679E"/>
    <w:rsid w:val="00446CFD"/>
    <w:rsid w:val="00446E3C"/>
    <w:rsid w:val="00447199"/>
    <w:rsid w:val="00452217"/>
    <w:rsid w:val="0045298F"/>
    <w:rsid w:val="00455300"/>
    <w:rsid w:val="00455336"/>
    <w:rsid w:val="0045552C"/>
    <w:rsid w:val="00455FC8"/>
    <w:rsid w:val="00456443"/>
    <w:rsid w:val="00456757"/>
    <w:rsid w:val="00456B6D"/>
    <w:rsid w:val="00457813"/>
    <w:rsid w:val="00457849"/>
    <w:rsid w:val="00457AC7"/>
    <w:rsid w:val="0046012D"/>
    <w:rsid w:val="0046134F"/>
    <w:rsid w:val="004617AC"/>
    <w:rsid w:val="004619DA"/>
    <w:rsid w:val="0046265D"/>
    <w:rsid w:val="00462E9D"/>
    <w:rsid w:val="00463D18"/>
    <w:rsid w:val="00463F27"/>
    <w:rsid w:val="00465F38"/>
    <w:rsid w:val="004666FA"/>
    <w:rsid w:val="00466E43"/>
    <w:rsid w:val="004674E3"/>
    <w:rsid w:val="00467840"/>
    <w:rsid w:val="00470407"/>
    <w:rsid w:val="00471096"/>
    <w:rsid w:val="00471208"/>
    <w:rsid w:val="00472C7E"/>
    <w:rsid w:val="00473E75"/>
    <w:rsid w:val="00474EB5"/>
    <w:rsid w:val="00475897"/>
    <w:rsid w:val="004759E0"/>
    <w:rsid w:val="004768F1"/>
    <w:rsid w:val="004769F6"/>
    <w:rsid w:val="00476E5E"/>
    <w:rsid w:val="0047773D"/>
    <w:rsid w:val="00477FBF"/>
    <w:rsid w:val="00480065"/>
    <w:rsid w:val="00480D11"/>
    <w:rsid w:val="00481126"/>
    <w:rsid w:val="004835A6"/>
    <w:rsid w:val="0048372C"/>
    <w:rsid w:val="004840CC"/>
    <w:rsid w:val="0048462D"/>
    <w:rsid w:val="00484B84"/>
    <w:rsid w:val="0048542E"/>
    <w:rsid w:val="004856AF"/>
    <w:rsid w:val="00485ECB"/>
    <w:rsid w:val="00486CA9"/>
    <w:rsid w:val="00491101"/>
    <w:rsid w:val="004912C2"/>
    <w:rsid w:val="00491BA4"/>
    <w:rsid w:val="00491FC4"/>
    <w:rsid w:val="0049215A"/>
    <w:rsid w:val="00492455"/>
    <w:rsid w:val="0049252A"/>
    <w:rsid w:val="00492707"/>
    <w:rsid w:val="00492746"/>
    <w:rsid w:val="0049301C"/>
    <w:rsid w:val="004930C0"/>
    <w:rsid w:val="004935F7"/>
    <w:rsid w:val="00493B7B"/>
    <w:rsid w:val="004943BF"/>
    <w:rsid w:val="00494AC0"/>
    <w:rsid w:val="0049542C"/>
    <w:rsid w:val="004956DE"/>
    <w:rsid w:val="00495C53"/>
    <w:rsid w:val="00496438"/>
    <w:rsid w:val="00496A43"/>
    <w:rsid w:val="004977E4"/>
    <w:rsid w:val="004978D2"/>
    <w:rsid w:val="004A00E7"/>
    <w:rsid w:val="004A0501"/>
    <w:rsid w:val="004A1D97"/>
    <w:rsid w:val="004A2F7E"/>
    <w:rsid w:val="004A2FD9"/>
    <w:rsid w:val="004A39E5"/>
    <w:rsid w:val="004A49F8"/>
    <w:rsid w:val="004A4DDE"/>
    <w:rsid w:val="004A533F"/>
    <w:rsid w:val="004A5A59"/>
    <w:rsid w:val="004A5E90"/>
    <w:rsid w:val="004A775D"/>
    <w:rsid w:val="004A79BD"/>
    <w:rsid w:val="004B03D5"/>
    <w:rsid w:val="004B072E"/>
    <w:rsid w:val="004B0A27"/>
    <w:rsid w:val="004B0AE2"/>
    <w:rsid w:val="004B0C7D"/>
    <w:rsid w:val="004B1855"/>
    <w:rsid w:val="004B1D3A"/>
    <w:rsid w:val="004B1EAA"/>
    <w:rsid w:val="004B23BF"/>
    <w:rsid w:val="004B268D"/>
    <w:rsid w:val="004B36C5"/>
    <w:rsid w:val="004B539B"/>
    <w:rsid w:val="004B5E92"/>
    <w:rsid w:val="004B6945"/>
    <w:rsid w:val="004B7401"/>
    <w:rsid w:val="004C0036"/>
    <w:rsid w:val="004C01A2"/>
    <w:rsid w:val="004C024F"/>
    <w:rsid w:val="004C047A"/>
    <w:rsid w:val="004C067D"/>
    <w:rsid w:val="004C0927"/>
    <w:rsid w:val="004C0D77"/>
    <w:rsid w:val="004C0D94"/>
    <w:rsid w:val="004C103C"/>
    <w:rsid w:val="004C164D"/>
    <w:rsid w:val="004C1855"/>
    <w:rsid w:val="004C1CB8"/>
    <w:rsid w:val="004C2488"/>
    <w:rsid w:val="004C2E9C"/>
    <w:rsid w:val="004C5273"/>
    <w:rsid w:val="004C5AF9"/>
    <w:rsid w:val="004C629A"/>
    <w:rsid w:val="004C67D6"/>
    <w:rsid w:val="004C6E4A"/>
    <w:rsid w:val="004C76C3"/>
    <w:rsid w:val="004D0C70"/>
    <w:rsid w:val="004D11B0"/>
    <w:rsid w:val="004D17B6"/>
    <w:rsid w:val="004D1831"/>
    <w:rsid w:val="004D1934"/>
    <w:rsid w:val="004D1CF4"/>
    <w:rsid w:val="004D31C9"/>
    <w:rsid w:val="004D3DB9"/>
    <w:rsid w:val="004D3F69"/>
    <w:rsid w:val="004D4352"/>
    <w:rsid w:val="004D5717"/>
    <w:rsid w:val="004D6571"/>
    <w:rsid w:val="004D6F92"/>
    <w:rsid w:val="004D76CB"/>
    <w:rsid w:val="004D7B50"/>
    <w:rsid w:val="004D7E3D"/>
    <w:rsid w:val="004E0C7A"/>
    <w:rsid w:val="004E0F43"/>
    <w:rsid w:val="004E1393"/>
    <w:rsid w:val="004E1DE3"/>
    <w:rsid w:val="004E248E"/>
    <w:rsid w:val="004E2ECE"/>
    <w:rsid w:val="004E3089"/>
    <w:rsid w:val="004E3420"/>
    <w:rsid w:val="004E385A"/>
    <w:rsid w:val="004E44CE"/>
    <w:rsid w:val="004E528A"/>
    <w:rsid w:val="004E5BB7"/>
    <w:rsid w:val="004E5C75"/>
    <w:rsid w:val="004E635D"/>
    <w:rsid w:val="004E7E51"/>
    <w:rsid w:val="004F026E"/>
    <w:rsid w:val="004F0AE7"/>
    <w:rsid w:val="004F0B40"/>
    <w:rsid w:val="004F19E7"/>
    <w:rsid w:val="004F1BE4"/>
    <w:rsid w:val="004F2ACD"/>
    <w:rsid w:val="004F443A"/>
    <w:rsid w:val="004F4680"/>
    <w:rsid w:val="004F46A1"/>
    <w:rsid w:val="004F4B94"/>
    <w:rsid w:val="004F4F96"/>
    <w:rsid w:val="004F500A"/>
    <w:rsid w:val="004F5600"/>
    <w:rsid w:val="004F64E6"/>
    <w:rsid w:val="004F65E1"/>
    <w:rsid w:val="004F70BA"/>
    <w:rsid w:val="004F7321"/>
    <w:rsid w:val="00500676"/>
    <w:rsid w:val="00500948"/>
    <w:rsid w:val="00500C57"/>
    <w:rsid w:val="005013F4"/>
    <w:rsid w:val="0050268A"/>
    <w:rsid w:val="00502DFF"/>
    <w:rsid w:val="005049D0"/>
    <w:rsid w:val="0050712E"/>
    <w:rsid w:val="0050783E"/>
    <w:rsid w:val="00507901"/>
    <w:rsid w:val="0051221E"/>
    <w:rsid w:val="00512FD2"/>
    <w:rsid w:val="0051478C"/>
    <w:rsid w:val="00516193"/>
    <w:rsid w:val="00516841"/>
    <w:rsid w:val="00516B47"/>
    <w:rsid w:val="005173A4"/>
    <w:rsid w:val="005211E3"/>
    <w:rsid w:val="00521709"/>
    <w:rsid w:val="005228C2"/>
    <w:rsid w:val="00524220"/>
    <w:rsid w:val="00524473"/>
    <w:rsid w:val="005244DA"/>
    <w:rsid w:val="00524863"/>
    <w:rsid w:val="00525DDC"/>
    <w:rsid w:val="00526846"/>
    <w:rsid w:val="00526A17"/>
    <w:rsid w:val="0052756F"/>
    <w:rsid w:val="00530510"/>
    <w:rsid w:val="00530776"/>
    <w:rsid w:val="00532C2F"/>
    <w:rsid w:val="0053390E"/>
    <w:rsid w:val="00533AD4"/>
    <w:rsid w:val="00533C80"/>
    <w:rsid w:val="00533D98"/>
    <w:rsid w:val="00534232"/>
    <w:rsid w:val="00534516"/>
    <w:rsid w:val="00534AF3"/>
    <w:rsid w:val="00535048"/>
    <w:rsid w:val="00535184"/>
    <w:rsid w:val="0053583D"/>
    <w:rsid w:val="00535C9B"/>
    <w:rsid w:val="00536B51"/>
    <w:rsid w:val="00536C4E"/>
    <w:rsid w:val="00537611"/>
    <w:rsid w:val="00537C71"/>
    <w:rsid w:val="00540027"/>
    <w:rsid w:val="005400C7"/>
    <w:rsid w:val="00540625"/>
    <w:rsid w:val="00540CDA"/>
    <w:rsid w:val="00543048"/>
    <w:rsid w:val="00543E6A"/>
    <w:rsid w:val="005441AD"/>
    <w:rsid w:val="00544858"/>
    <w:rsid w:val="0054575B"/>
    <w:rsid w:val="00545E19"/>
    <w:rsid w:val="00546B44"/>
    <w:rsid w:val="00547BE1"/>
    <w:rsid w:val="00550822"/>
    <w:rsid w:val="00551318"/>
    <w:rsid w:val="005520A1"/>
    <w:rsid w:val="005522A6"/>
    <w:rsid w:val="00552499"/>
    <w:rsid w:val="005530B5"/>
    <w:rsid w:val="00554A4C"/>
    <w:rsid w:val="005553E9"/>
    <w:rsid w:val="00556055"/>
    <w:rsid w:val="005561A7"/>
    <w:rsid w:val="00556520"/>
    <w:rsid w:val="00556717"/>
    <w:rsid w:val="00556A94"/>
    <w:rsid w:val="00556FD9"/>
    <w:rsid w:val="005571B6"/>
    <w:rsid w:val="00557342"/>
    <w:rsid w:val="005573EB"/>
    <w:rsid w:val="0055772E"/>
    <w:rsid w:val="00557BCB"/>
    <w:rsid w:val="00557FBC"/>
    <w:rsid w:val="00561388"/>
    <w:rsid w:val="005615C0"/>
    <w:rsid w:val="00561B89"/>
    <w:rsid w:val="005623DE"/>
    <w:rsid w:val="005625C5"/>
    <w:rsid w:val="0056323D"/>
    <w:rsid w:val="0056387D"/>
    <w:rsid w:val="00563C3C"/>
    <w:rsid w:val="00566526"/>
    <w:rsid w:val="0056652B"/>
    <w:rsid w:val="005674FC"/>
    <w:rsid w:val="005675AF"/>
    <w:rsid w:val="0057056B"/>
    <w:rsid w:val="00570C1B"/>
    <w:rsid w:val="00571006"/>
    <w:rsid w:val="005739A9"/>
    <w:rsid w:val="0057473C"/>
    <w:rsid w:val="005753D0"/>
    <w:rsid w:val="00575A65"/>
    <w:rsid w:val="005768D4"/>
    <w:rsid w:val="00577326"/>
    <w:rsid w:val="00580416"/>
    <w:rsid w:val="00580EA3"/>
    <w:rsid w:val="0058126B"/>
    <w:rsid w:val="005822DB"/>
    <w:rsid w:val="005825EE"/>
    <w:rsid w:val="0058275E"/>
    <w:rsid w:val="00583338"/>
    <w:rsid w:val="005835D0"/>
    <w:rsid w:val="00583A75"/>
    <w:rsid w:val="00584725"/>
    <w:rsid w:val="00584D63"/>
    <w:rsid w:val="00586334"/>
    <w:rsid w:val="0059003A"/>
    <w:rsid w:val="00590668"/>
    <w:rsid w:val="00590A17"/>
    <w:rsid w:val="0059145C"/>
    <w:rsid w:val="00591C6D"/>
    <w:rsid w:val="00591E33"/>
    <w:rsid w:val="005920C6"/>
    <w:rsid w:val="005932DB"/>
    <w:rsid w:val="00593B93"/>
    <w:rsid w:val="00593E99"/>
    <w:rsid w:val="005944B8"/>
    <w:rsid w:val="00594B46"/>
    <w:rsid w:val="00595737"/>
    <w:rsid w:val="00596E26"/>
    <w:rsid w:val="005971D2"/>
    <w:rsid w:val="00597586"/>
    <w:rsid w:val="00597B90"/>
    <w:rsid w:val="00597D35"/>
    <w:rsid w:val="005A2492"/>
    <w:rsid w:val="005A2CFD"/>
    <w:rsid w:val="005A344B"/>
    <w:rsid w:val="005A5046"/>
    <w:rsid w:val="005A53BE"/>
    <w:rsid w:val="005A59C4"/>
    <w:rsid w:val="005A5E83"/>
    <w:rsid w:val="005A5FC1"/>
    <w:rsid w:val="005A7764"/>
    <w:rsid w:val="005A7C7E"/>
    <w:rsid w:val="005A7FDC"/>
    <w:rsid w:val="005B0D04"/>
    <w:rsid w:val="005B0EE6"/>
    <w:rsid w:val="005B1839"/>
    <w:rsid w:val="005B22AE"/>
    <w:rsid w:val="005B2795"/>
    <w:rsid w:val="005B2891"/>
    <w:rsid w:val="005B2D9C"/>
    <w:rsid w:val="005B52D4"/>
    <w:rsid w:val="005B635A"/>
    <w:rsid w:val="005B6AD5"/>
    <w:rsid w:val="005B6AFA"/>
    <w:rsid w:val="005B7B0D"/>
    <w:rsid w:val="005B7D1F"/>
    <w:rsid w:val="005C07E6"/>
    <w:rsid w:val="005C1D3C"/>
    <w:rsid w:val="005C1DDC"/>
    <w:rsid w:val="005C22F0"/>
    <w:rsid w:val="005C26EE"/>
    <w:rsid w:val="005C2D23"/>
    <w:rsid w:val="005C340F"/>
    <w:rsid w:val="005C39A2"/>
    <w:rsid w:val="005C44E6"/>
    <w:rsid w:val="005C47D4"/>
    <w:rsid w:val="005C7442"/>
    <w:rsid w:val="005D22E7"/>
    <w:rsid w:val="005D23FE"/>
    <w:rsid w:val="005D241C"/>
    <w:rsid w:val="005D297E"/>
    <w:rsid w:val="005D29ED"/>
    <w:rsid w:val="005D3218"/>
    <w:rsid w:val="005D527E"/>
    <w:rsid w:val="005D5448"/>
    <w:rsid w:val="005D549D"/>
    <w:rsid w:val="005D5BD2"/>
    <w:rsid w:val="005D5ED6"/>
    <w:rsid w:val="005D679D"/>
    <w:rsid w:val="005D75B3"/>
    <w:rsid w:val="005D7D61"/>
    <w:rsid w:val="005E0C4C"/>
    <w:rsid w:val="005E10BA"/>
    <w:rsid w:val="005E1601"/>
    <w:rsid w:val="005E1F8D"/>
    <w:rsid w:val="005E2436"/>
    <w:rsid w:val="005E3151"/>
    <w:rsid w:val="005E38CF"/>
    <w:rsid w:val="005E39A3"/>
    <w:rsid w:val="005E4118"/>
    <w:rsid w:val="005E4961"/>
    <w:rsid w:val="005E505D"/>
    <w:rsid w:val="005E5171"/>
    <w:rsid w:val="005E65CC"/>
    <w:rsid w:val="005E6EF0"/>
    <w:rsid w:val="005E790D"/>
    <w:rsid w:val="005F08CD"/>
    <w:rsid w:val="005F0EA7"/>
    <w:rsid w:val="005F20AC"/>
    <w:rsid w:val="005F2835"/>
    <w:rsid w:val="005F28A3"/>
    <w:rsid w:val="005F2909"/>
    <w:rsid w:val="005F317D"/>
    <w:rsid w:val="005F36A1"/>
    <w:rsid w:val="005F4BB1"/>
    <w:rsid w:val="005F4CA6"/>
    <w:rsid w:val="005F4ED3"/>
    <w:rsid w:val="005F4F0E"/>
    <w:rsid w:val="005F4F8F"/>
    <w:rsid w:val="005F50E5"/>
    <w:rsid w:val="005F5471"/>
    <w:rsid w:val="005F56DB"/>
    <w:rsid w:val="005F5C0A"/>
    <w:rsid w:val="005F796B"/>
    <w:rsid w:val="00600968"/>
    <w:rsid w:val="00600D87"/>
    <w:rsid w:val="006011DA"/>
    <w:rsid w:val="0060197A"/>
    <w:rsid w:val="00601B66"/>
    <w:rsid w:val="00601DDB"/>
    <w:rsid w:val="006028D1"/>
    <w:rsid w:val="00602A68"/>
    <w:rsid w:val="00603077"/>
    <w:rsid w:val="00604CFE"/>
    <w:rsid w:val="0060503D"/>
    <w:rsid w:val="00606041"/>
    <w:rsid w:val="00606747"/>
    <w:rsid w:val="00606A0B"/>
    <w:rsid w:val="00607EED"/>
    <w:rsid w:val="006101E2"/>
    <w:rsid w:val="006105E8"/>
    <w:rsid w:val="006110ED"/>
    <w:rsid w:val="00611A9B"/>
    <w:rsid w:val="0061215B"/>
    <w:rsid w:val="00612D75"/>
    <w:rsid w:val="00613498"/>
    <w:rsid w:val="006138AE"/>
    <w:rsid w:val="006151BE"/>
    <w:rsid w:val="00615736"/>
    <w:rsid w:val="006159C9"/>
    <w:rsid w:val="006173C4"/>
    <w:rsid w:val="006201C2"/>
    <w:rsid w:val="00620E67"/>
    <w:rsid w:val="00621CC6"/>
    <w:rsid w:val="00621EF1"/>
    <w:rsid w:val="0062203A"/>
    <w:rsid w:val="006223EE"/>
    <w:rsid w:val="00622E0E"/>
    <w:rsid w:val="006236EB"/>
    <w:rsid w:val="006238E4"/>
    <w:rsid w:val="00623A2E"/>
    <w:rsid w:val="00623B3B"/>
    <w:rsid w:val="00623D60"/>
    <w:rsid w:val="006240EC"/>
    <w:rsid w:val="006245A9"/>
    <w:rsid w:val="006251BD"/>
    <w:rsid w:val="00626CF4"/>
    <w:rsid w:val="00627395"/>
    <w:rsid w:val="00627CC1"/>
    <w:rsid w:val="00627D3F"/>
    <w:rsid w:val="00631128"/>
    <w:rsid w:val="006321C5"/>
    <w:rsid w:val="006329D9"/>
    <w:rsid w:val="00632FAD"/>
    <w:rsid w:val="006335C5"/>
    <w:rsid w:val="00633F0A"/>
    <w:rsid w:val="00634637"/>
    <w:rsid w:val="00634C64"/>
    <w:rsid w:val="0063521A"/>
    <w:rsid w:val="0063550F"/>
    <w:rsid w:val="0063569F"/>
    <w:rsid w:val="00636F23"/>
    <w:rsid w:val="0063745D"/>
    <w:rsid w:val="00637489"/>
    <w:rsid w:val="00637552"/>
    <w:rsid w:val="006379DA"/>
    <w:rsid w:val="00640075"/>
    <w:rsid w:val="00640704"/>
    <w:rsid w:val="00640951"/>
    <w:rsid w:val="00641401"/>
    <w:rsid w:val="00641697"/>
    <w:rsid w:val="00644B1D"/>
    <w:rsid w:val="00644B9B"/>
    <w:rsid w:val="00644D35"/>
    <w:rsid w:val="00644DE6"/>
    <w:rsid w:val="006458B5"/>
    <w:rsid w:val="00645B22"/>
    <w:rsid w:val="00645FEB"/>
    <w:rsid w:val="00646442"/>
    <w:rsid w:val="0064694D"/>
    <w:rsid w:val="00650800"/>
    <w:rsid w:val="0065246B"/>
    <w:rsid w:val="00652AE6"/>
    <w:rsid w:val="00652F98"/>
    <w:rsid w:val="00653290"/>
    <w:rsid w:val="00653343"/>
    <w:rsid w:val="0065388E"/>
    <w:rsid w:val="006542FA"/>
    <w:rsid w:val="006547FA"/>
    <w:rsid w:val="00654A30"/>
    <w:rsid w:val="006552FB"/>
    <w:rsid w:val="006556D3"/>
    <w:rsid w:val="00655FC9"/>
    <w:rsid w:val="006561B6"/>
    <w:rsid w:val="00656305"/>
    <w:rsid w:val="00660398"/>
    <w:rsid w:val="0066065D"/>
    <w:rsid w:val="00660F43"/>
    <w:rsid w:val="0066160B"/>
    <w:rsid w:val="00661D82"/>
    <w:rsid w:val="00662542"/>
    <w:rsid w:val="00662712"/>
    <w:rsid w:val="00662EF8"/>
    <w:rsid w:val="006639CE"/>
    <w:rsid w:val="006639D0"/>
    <w:rsid w:val="00664912"/>
    <w:rsid w:val="00664B6E"/>
    <w:rsid w:val="00664C18"/>
    <w:rsid w:val="00664F65"/>
    <w:rsid w:val="0066535C"/>
    <w:rsid w:val="00665519"/>
    <w:rsid w:val="006656DF"/>
    <w:rsid w:val="006658B8"/>
    <w:rsid w:val="00665C23"/>
    <w:rsid w:val="00666138"/>
    <w:rsid w:val="00666662"/>
    <w:rsid w:val="0066673C"/>
    <w:rsid w:val="00666C0A"/>
    <w:rsid w:val="00667BB8"/>
    <w:rsid w:val="00670CDA"/>
    <w:rsid w:val="00670EA3"/>
    <w:rsid w:val="006719D6"/>
    <w:rsid w:val="0067276D"/>
    <w:rsid w:val="0067279E"/>
    <w:rsid w:val="006731A0"/>
    <w:rsid w:val="00673428"/>
    <w:rsid w:val="00674350"/>
    <w:rsid w:val="00674851"/>
    <w:rsid w:val="00675013"/>
    <w:rsid w:val="006755E2"/>
    <w:rsid w:val="00675A86"/>
    <w:rsid w:val="0067604E"/>
    <w:rsid w:val="00676C8E"/>
    <w:rsid w:val="00677C6E"/>
    <w:rsid w:val="006812F1"/>
    <w:rsid w:val="00681C37"/>
    <w:rsid w:val="00681F79"/>
    <w:rsid w:val="00682DE2"/>
    <w:rsid w:val="00682E3C"/>
    <w:rsid w:val="00683D99"/>
    <w:rsid w:val="0068552E"/>
    <w:rsid w:val="00686482"/>
    <w:rsid w:val="00687076"/>
    <w:rsid w:val="00690096"/>
    <w:rsid w:val="00690B49"/>
    <w:rsid w:val="00690DFA"/>
    <w:rsid w:val="00691DD8"/>
    <w:rsid w:val="00691F93"/>
    <w:rsid w:val="0069328F"/>
    <w:rsid w:val="00694A62"/>
    <w:rsid w:val="00696304"/>
    <w:rsid w:val="00696819"/>
    <w:rsid w:val="006969D4"/>
    <w:rsid w:val="0069799A"/>
    <w:rsid w:val="00697DA1"/>
    <w:rsid w:val="00697E70"/>
    <w:rsid w:val="006A013D"/>
    <w:rsid w:val="006A1942"/>
    <w:rsid w:val="006A1EF5"/>
    <w:rsid w:val="006A1F12"/>
    <w:rsid w:val="006A306F"/>
    <w:rsid w:val="006A34DF"/>
    <w:rsid w:val="006A3BAA"/>
    <w:rsid w:val="006A404E"/>
    <w:rsid w:val="006A427D"/>
    <w:rsid w:val="006A53BD"/>
    <w:rsid w:val="006A5780"/>
    <w:rsid w:val="006A70B4"/>
    <w:rsid w:val="006A7E7B"/>
    <w:rsid w:val="006B007E"/>
    <w:rsid w:val="006B05F2"/>
    <w:rsid w:val="006B0887"/>
    <w:rsid w:val="006B1B2E"/>
    <w:rsid w:val="006B1D94"/>
    <w:rsid w:val="006B1E56"/>
    <w:rsid w:val="006B3877"/>
    <w:rsid w:val="006B3C10"/>
    <w:rsid w:val="006B46E7"/>
    <w:rsid w:val="006B4FCD"/>
    <w:rsid w:val="006B585D"/>
    <w:rsid w:val="006B59F8"/>
    <w:rsid w:val="006B5D4E"/>
    <w:rsid w:val="006B5F4E"/>
    <w:rsid w:val="006B6AAE"/>
    <w:rsid w:val="006B6DA7"/>
    <w:rsid w:val="006B741B"/>
    <w:rsid w:val="006B7CC7"/>
    <w:rsid w:val="006C0989"/>
    <w:rsid w:val="006C0AEE"/>
    <w:rsid w:val="006C1384"/>
    <w:rsid w:val="006C1734"/>
    <w:rsid w:val="006C184C"/>
    <w:rsid w:val="006C22F1"/>
    <w:rsid w:val="006C2500"/>
    <w:rsid w:val="006C272D"/>
    <w:rsid w:val="006C3265"/>
    <w:rsid w:val="006C3314"/>
    <w:rsid w:val="006C4393"/>
    <w:rsid w:val="006C4B78"/>
    <w:rsid w:val="006C6B86"/>
    <w:rsid w:val="006C7C38"/>
    <w:rsid w:val="006D012B"/>
    <w:rsid w:val="006D0EA6"/>
    <w:rsid w:val="006D12BE"/>
    <w:rsid w:val="006D206D"/>
    <w:rsid w:val="006D293C"/>
    <w:rsid w:val="006D2AB1"/>
    <w:rsid w:val="006D2EEE"/>
    <w:rsid w:val="006D3DC3"/>
    <w:rsid w:val="006D4252"/>
    <w:rsid w:val="006D4AF6"/>
    <w:rsid w:val="006D4EC9"/>
    <w:rsid w:val="006D5708"/>
    <w:rsid w:val="006D5A42"/>
    <w:rsid w:val="006D6EE6"/>
    <w:rsid w:val="006D756D"/>
    <w:rsid w:val="006E02AC"/>
    <w:rsid w:val="006E0994"/>
    <w:rsid w:val="006E17D0"/>
    <w:rsid w:val="006E1E89"/>
    <w:rsid w:val="006E2079"/>
    <w:rsid w:val="006E233D"/>
    <w:rsid w:val="006E2AD0"/>
    <w:rsid w:val="006E2DEA"/>
    <w:rsid w:val="006E3547"/>
    <w:rsid w:val="006E37A4"/>
    <w:rsid w:val="006E3847"/>
    <w:rsid w:val="006E4894"/>
    <w:rsid w:val="006E4EDC"/>
    <w:rsid w:val="006E577A"/>
    <w:rsid w:val="006E587E"/>
    <w:rsid w:val="006E589B"/>
    <w:rsid w:val="006E605F"/>
    <w:rsid w:val="006E7860"/>
    <w:rsid w:val="006F0A9A"/>
    <w:rsid w:val="006F2535"/>
    <w:rsid w:val="006F4063"/>
    <w:rsid w:val="006F40B5"/>
    <w:rsid w:val="006F43D1"/>
    <w:rsid w:val="006F47E3"/>
    <w:rsid w:val="006F4892"/>
    <w:rsid w:val="006F4C65"/>
    <w:rsid w:val="006F4EA3"/>
    <w:rsid w:val="006F4FBA"/>
    <w:rsid w:val="006F52F8"/>
    <w:rsid w:val="006F57E4"/>
    <w:rsid w:val="006F58D4"/>
    <w:rsid w:val="006F5FA4"/>
    <w:rsid w:val="006F6125"/>
    <w:rsid w:val="006F684B"/>
    <w:rsid w:val="006F6AD4"/>
    <w:rsid w:val="006F6C5D"/>
    <w:rsid w:val="006F79EF"/>
    <w:rsid w:val="00700138"/>
    <w:rsid w:val="00700F75"/>
    <w:rsid w:val="0070340B"/>
    <w:rsid w:val="00704BB1"/>
    <w:rsid w:val="007053D1"/>
    <w:rsid w:val="007061FF"/>
    <w:rsid w:val="00712A58"/>
    <w:rsid w:val="007135CF"/>
    <w:rsid w:val="007137A2"/>
    <w:rsid w:val="0071466E"/>
    <w:rsid w:val="0071479A"/>
    <w:rsid w:val="00715A35"/>
    <w:rsid w:val="00715D1A"/>
    <w:rsid w:val="00716076"/>
    <w:rsid w:val="0071615B"/>
    <w:rsid w:val="00716FDB"/>
    <w:rsid w:val="00717099"/>
    <w:rsid w:val="007171C3"/>
    <w:rsid w:val="00717218"/>
    <w:rsid w:val="007174C7"/>
    <w:rsid w:val="00717A75"/>
    <w:rsid w:val="00717E48"/>
    <w:rsid w:val="00720A12"/>
    <w:rsid w:val="00721405"/>
    <w:rsid w:val="00721DC5"/>
    <w:rsid w:val="007226CB"/>
    <w:rsid w:val="007229E1"/>
    <w:rsid w:val="007231A2"/>
    <w:rsid w:val="00724281"/>
    <w:rsid w:val="00724E27"/>
    <w:rsid w:val="00725BEE"/>
    <w:rsid w:val="0072640C"/>
    <w:rsid w:val="007304A6"/>
    <w:rsid w:val="00731C16"/>
    <w:rsid w:val="007320A3"/>
    <w:rsid w:val="00732B1B"/>
    <w:rsid w:val="00732C43"/>
    <w:rsid w:val="00732E47"/>
    <w:rsid w:val="00732FBB"/>
    <w:rsid w:val="0073334D"/>
    <w:rsid w:val="00734C7D"/>
    <w:rsid w:val="00734F4F"/>
    <w:rsid w:val="0073528D"/>
    <w:rsid w:val="00736555"/>
    <w:rsid w:val="0073659B"/>
    <w:rsid w:val="00736840"/>
    <w:rsid w:val="00736C76"/>
    <w:rsid w:val="00737AF7"/>
    <w:rsid w:val="00740A0A"/>
    <w:rsid w:val="0074143B"/>
    <w:rsid w:val="00741534"/>
    <w:rsid w:val="007415B8"/>
    <w:rsid w:val="00741C1C"/>
    <w:rsid w:val="00742316"/>
    <w:rsid w:val="0074237C"/>
    <w:rsid w:val="00742AB8"/>
    <w:rsid w:val="00742CE9"/>
    <w:rsid w:val="0074324F"/>
    <w:rsid w:val="0074331C"/>
    <w:rsid w:val="00743436"/>
    <w:rsid w:val="0074344D"/>
    <w:rsid w:val="00743544"/>
    <w:rsid w:val="007445F9"/>
    <w:rsid w:val="00744B58"/>
    <w:rsid w:val="007455B9"/>
    <w:rsid w:val="00745AAA"/>
    <w:rsid w:val="00745C3B"/>
    <w:rsid w:val="00746560"/>
    <w:rsid w:val="007469FF"/>
    <w:rsid w:val="00746C6B"/>
    <w:rsid w:val="007511B2"/>
    <w:rsid w:val="00751341"/>
    <w:rsid w:val="00751463"/>
    <w:rsid w:val="007519FF"/>
    <w:rsid w:val="00751A5A"/>
    <w:rsid w:val="00752D46"/>
    <w:rsid w:val="00752FE8"/>
    <w:rsid w:val="007534C4"/>
    <w:rsid w:val="00753D2D"/>
    <w:rsid w:val="00754708"/>
    <w:rsid w:val="00754AA1"/>
    <w:rsid w:val="00754AAF"/>
    <w:rsid w:val="007563B2"/>
    <w:rsid w:val="00757431"/>
    <w:rsid w:val="00760834"/>
    <w:rsid w:val="00760EF0"/>
    <w:rsid w:val="0076114C"/>
    <w:rsid w:val="0076135D"/>
    <w:rsid w:val="0076206B"/>
    <w:rsid w:val="007625EF"/>
    <w:rsid w:val="0076265E"/>
    <w:rsid w:val="007626EC"/>
    <w:rsid w:val="00762763"/>
    <w:rsid w:val="007628F8"/>
    <w:rsid w:val="00762BEA"/>
    <w:rsid w:val="007639EC"/>
    <w:rsid w:val="00764237"/>
    <w:rsid w:val="00764AE3"/>
    <w:rsid w:val="00765DCD"/>
    <w:rsid w:val="00766084"/>
    <w:rsid w:val="00766898"/>
    <w:rsid w:val="00766CF7"/>
    <w:rsid w:val="00766EE2"/>
    <w:rsid w:val="007670FE"/>
    <w:rsid w:val="00771E7A"/>
    <w:rsid w:val="00773D7A"/>
    <w:rsid w:val="007743BC"/>
    <w:rsid w:val="00774937"/>
    <w:rsid w:val="00774A57"/>
    <w:rsid w:val="00774DB6"/>
    <w:rsid w:val="00775255"/>
    <w:rsid w:val="00776109"/>
    <w:rsid w:val="00776D07"/>
    <w:rsid w:val="007776C4"/>
    <w:rsid w:val="007802C1"/>
    <w:rsid w:val="007803F0"/>
    <w:rsid w:val="007805A6"/>
    <w:rsid w:val="00780602"/>
    <w:rsid w:val="0078086C"/>
    <w:rsid w:val="00780E44"/>
    <w:rsid w:val="0078124A"/>
    <w:rsid w:val="007826BA"/>
    <w:rsid w:val="00784851"/>
    <w:rsid w:val="00784F15"/>
    <w:rsid w:val="007851A9"/>
    <w:rsid w:val="00787403"/>
    <w:rsid w:val="00790429"/>
    <w:rsid w:val="00790C5B"/>
    <w:rsid w:val="00791B41"/>
    <w:rsid w:val="00791F2E"/>
    <w:rsid w:val="00792925"/>
    <w:rsid w:val="007936E3"/>
    <w:rsid w:val="00793D7C"/>
    <w:rsid w:val="0079430C"/>
    <w:rsid w:val="007943B0"/>
    <w:rsid w:val="00794418"/>
    <w:rsid w:val="007947E5"/>
    <w:rsid w:val="00794ACC"/>
    <w:rsid w:val="00794B4B"/>
    <w:rsid w:val="00794FFD"/>
    <w:rsid w:val="0079580D"/>
    <w:rsid w:val="00795852"/>
    <w:rsid w:val="00795F30"/>
    <w:rsid w:val="00795FEB"/>
    <w:rsid w:val="00797599"/>
    <w:rsid w:val="00797D8A"/>
    <w:rsid w:val="007A1198"/>
    <w:rsid w:val="007A13A5"/>
    <w:rsid w:val="007A20A5"/>
    <w:rsid w:val="007A2112"/>
    <w:rsid w:val="007A22E2"/>
    <w:rsid w:val="007A2964"/>
    <w:rsid w:val="007A2EA9"/>
    <w:rsid w:val="007A3DA8"/>
    <w:rsid w:val="007A608C"/>
    <w:rsid w:val="007A737F"/>
    <w:rsid w:val="007A7612"/>
    <w:rsid w:val="007A7817"/>
    <w:rsid w:val="007A78F3"/>
    <w:rsid w:val="007B05D5"/>
    <w:rsid w:val="007B23C0"/>
    <w:rsid w:val="007B2703"/>
    <w:rsid w:val="007B2954"/>
    <w:rsid w:val="007B2E86"/>
    <w:rsid w:val="007B35DA"/>
    <w:rsid w:val="007B39ED"/>
    <w:rsid w:val="007B4655"/>
    <w:rsid w:val="007B4B37"/>
    <w:rsid w:val="007B4EAA"/>
    <w:rsid w:val="007B5D5E"/>
    <w:rsid w:val="007B64E4"/>
    <w:rsid w:val="007B6553"/>
    <w:rsid w:val="007B6A52"/>
    <w:rsid w:val="007C006C"/>
    <w:rsid w:val="007C0885"/>
    <w:rsid w:val="007C0A15"/>
    <w:rsid w:val="007C0CFE"/>
    <w:rsid w:val="007C0EE3"/>
    <w:rsid w:val="007C10C0"/>
    <w:rsid w:val="007C1C9C"/>
    <w:rsid w:val="007C27D1"/>
    <w:rsid w:val="007C2B31"/>
    <w:rsid w:val="007C2DD2"/>
    <w:rsid w:val="007C2E98"/>
    <w:rsid w:val="007C30AA"/>
    <w:rsid w:val="007C3252"/>
    <w:rsid w:val="007C3CEB"/>
    <w:rsid w:val="007C4A00"/>
    <w:rsid w:val="007C56C1"/>
    <w:rsid w:val="007C62A6"/>
    <w:rsid w:val="007C6676"/>
    <w:rsid w:val="007C6F8D"/>
    <w:rsid w:val="007D032D"/>
    <w:rsid w:val="007D132E"/>
    <w:rsid w:val="007D191E"/>
    <w:rsid w:val="007D1F4D"/>
    <w:rsid w:val="007D2065"/>
    <w:rsid w:val="007D20A3"/>
    <w:rsid w:val="007D233B"/>
    <w:rsid w:val="007D2CA9"/>
    <w:rsid w:val="007D4256"/>
    <w:rsid w:val="007D4462"/>
    <w:rsid w:val="007D4E8F"/>
    <w:rsid w:val="007D6445"/>
    <w:rsid w:val="007D6BD6"/>
    <w:rsid w:val="007D7025"/>
    <w:rsid w:val="007D7709"/>
    <w:rsid w:val="007E0D39"/>
    <w:rsid w:val="007E1730"/>
    <w:rsid w:val="007E26C0"/>
    <w:rsid w:val="007E2B11"/>
    <w:rsid w:val="007E414D"/>
    <w:rsid w:val="007E4864"/>
    <w:rsid w:val="007E4C57"/>
    <w:rsid w:val="007E5356"/>
    <w:rsid w:val="007E544B"/>
    <w:rsid w:val="007E668E"/>
    <w:rsid w:val="007E6BCC"/>
    <w:rsid w:val="007E755C"/>
    <w:rsid w:val="007E7AA2"/>
    <w:rsid w:val="007F003C"/>
    <w:rsid w:val="007F10E0"/>
    <w:rsid w:val="007F1226"/>
    <w:rsid w:val="007F14BD"/>
    <w:rsid w:val="007F1F4C"/>
    <w:rsid w:val="007F21DE"/>
    <w:rsid w:val="007F2BEC"/>
    <w:rsid w:val="007F514F"/>
    <w:rsid w:val="007F53CE"/>
    <w:rsid w:val="007F60E3"/>
    <w:rsid w:val="007F63C6"/>
    <w:rsid w:val="007F69D1"/>
    <w:rsid w:val="007F6BC1"/>
    <w:rsid w:val="007F7A07"/>
    <w:rsid w:val="008023C2"/>
    <w:rsid w:val="00802F13"/>
    <w:rsid w:val="008035AB"/>
    <w:rsid w:val="00803DCE"/>
    <w:rsid w:val="008059BF"/>
    <w:rsid w:val="00805FF7"/>
    <w:rsid w:val="008069BA"/>
    <w:rsid w:val="00807620"/>
    <w:rsid w:val="008079F0"/>
    <w:rsid w:val="00807FCF"/>
    <w:rsid w:val="008106EE"/>
    <w:rsid w:val="0081099C"/>
    <w:rsid w:val="00810F2E"/>
    <w:rsid w:val="008113ED"/>
    <w:rsid w:val="0081252A"/>
    <w:rsid w:val="00812E11"/>
    <w:rsid w:val="008135C8"/>
    <w:rsid w:val="008142AA"/>
    <w:rsid w:val="00814A47"/>
    <w:rsid w:val="00815766"/>
    <w:rsid w:val="00816A66"/>
    <w:rsid w:val="00816B5F"/>
    <w:rsid w:val="00820489"/>
    <w:rsid w:val="00821C1F"/>
    <w:rsid w:val="00823D4A"/>
    <w:rsid w:val="00824BC2"/>
    <w:rsid w:val="00825AA6"/>
    <w:rsid w:val="00825B31"/>
    <w:rsid w:val="008276D9"/>
    <w:rsid w:val="00827958"/>
    <w:rsid w:val="008279A7"/>
    <w:rsid w:val="00830614"/>
    <w:rsid w:val="008307C8"/>
    <w:rsid w:val="00831328"/>
    <w:rsid w:val="00832009"/>
    <w:rsid w:val="008320F7"/>
    <w:rsid w:val="0083262B"/>
    <w:rsid w:val="008328CA"/>
    <w:rsid w:val="008337C4"/>
    <w:rsid w:val="0083455C"/>
    <w:rsid w:val="00835207"/>
    <w:rsid w:val="00837507"/>
    <w:rsid w:val="00837E16"/>
    <w:rsid w:val="008409DE"/>
    <w:rsid w:val="00840E01"/>
    <w:rsid w:val="00841ADE"/>
    <w:rsid w:val="008426AD"/>
    <w:rsid w:val="00842A99"/>
    <w:rsid w:val="00843122"/>
    <w:rsid w:val="00843F2C"/>
    <w:rsid w:val="008449F9"/>
    <w:rsid w:val="008502B6"/>
    <w:rsid w:val="00850E36"/>
    <w:rsid w:val="0085123B"/>
    <w:rsid w:val="00852EC2"/>
    <w:rsid w:val="00853003"/>
    <w:rsid w:val="0085365D"/>
    <w:rsid w:val="008536D2"/>
    <w:rsid w:val="00853A93"/>
    <w:rsid w:val="008542EA"/>
    <w:rsid w:val="008543DA"/>
    <w:rsid w:val="008553CF"/>
    <w:rsid w:val="00855921"/>
    <w:rsid w:val="00855A4E"/>
    <w:rsid w:val="00855BFA"/>
    <w:rsid w:val="00855D43"/>
    <w:rsid w:val="00856C93"/>
    <w:rsid w:val="00861495"/>
    <w:rsid w:val="008615A6"/>
    <w:rsid w:val="00861C04"/>
    <w:rsid w:val="008620B5"/>
    <w:rsid w:val="008627A3"/>
    <w:rsid w:val="008637FA"/>
    <w:rsid w:val="00864287"/>
    <w:rsid w:val="0086515B"/>
    <w:rsid w:val="00865A39"/>
    <w:rsid w:val="00865E0D"/>
    <w:rsid w:val="00866EEC"/>
    <w:rsid w:val="00867324"/>
    <w:rsid w:val="008675A9"/>
    <w:rsid w:val="00867A17"/>
    <w:rsid w:val="00871600"/>
    <w:rsid w:val="0087177A"/>
    <w:rsid w:val="008718EE"/>
    <w:rsid w:val="00871E6D"/>
    <w:rsid w:val="008723E6"/>
    <w:rsid w:val="0087369B"/>
    <w:rsid w:val="0087491D"/>
    <w:rsid w:val="00874BE7"/>
    <w:rsid w:val="00874C38"/>
    <w:rsid w:val="00874FC1"/>
    <w:rsid w:val="00875682"/>
    <w:rsid w:val="008757B8"/>
    <w:rsid w:val="00875A77"/>
    <w:rsid w:val="00875B7E"/>
    <w:rsid w:val="00875BDA"/>
    <w:rsid w:val="0087645A"/>
    <w:rsid w:val="0087675A"/>
    <w:rsid w:val="0087755A"/>
    <w:rsid w:val="00880B2B"/>
    <w:rsid w:val="00880CFD"/>
    <w:rsid w:val="0088147E"/>
    <w:rsid w:val="008820F7"/>
    <w:rsid w:val="008823C6"/>
    <w:rsid w:val="00882C4F"/>
    <w:rsid w:val="008839EE"/>
    <w:rsid w:val="00884A31"/>
    <w:rsid w:val="00884DF7"/>
    <w:rsid w:val="008854A1"/>
    <w:rsid w:val="008858CD"/>
    <w:rsid w:val="008860D5"/>
    <w:rsid w:val="008863B4"/>
    <w:rsid w:val="00886E48"/>
    <w:rsid w:val="008871D8"/>
    <w:rsid w:val="00890EFF"/>
    <w:rsid w:val="008913D2"/>
    <w:rsid w:val="008915C0"/>
    <w:rsid w:val="0089167A"/>
    <w:rsid w:val="00892196"/>
    <w:rsid w:val="0089259D"/>
    <w:rsid w:val="00892792"/>
    <w:rsid w:val="00892E48"/>
    <w:rsid w:val="0089301D"/>
    <w:rsid w:val="008934FD"/>
    <w:rsid w:val="008936F1"/>
    <w:rsid w:val="00893F19"/>
    <w:rsid w:val="00894BD4"/>
    <w:rsid w:val="00894D6C"/>
    <w:rsid w:val="0089502A"/>
    <w:rsid w:val="008950DF"/>
    <w:rsid w:val="008954C6"/>
    <w:rsid w:val="008959EB"/>
    <w:rsid w:val="00895B06"/>
    <w:rsid w:val="00895E1C"/>
    <w:rsid w:val="00895ECE"/>
    <w:rsid w:val="0089643D"/>
    <w:rsid w:val="00896634"/>
    <w:rsid w:val="008A2A4A"/>
    <w:rsid w:val="008A39F6"/>
    <w:rsid w:val="008A3F76"/>
    <w:rsid w:val="008A44D3"/>
    <w:rsid w:val="008A49A6"/>
    <w:rsid w:val="008A4E93"/>
    <w:rsid w:val="008A50AE"/>
    <w:rsid w:val="008A52AD"/>
    <w:rsid w:val="008A55C8"/>
    <w:rsid w:val="008A5A5F"/>
    <w:rsid w:val="008A603E"/>
    <w:rsid w:val="008A61F9"/>
    <w:rsid w:val="008A64D0"/>
    <w:rsid w:val="008A66D5"/>
    <w:rsid w:val="008A677F"/>
    <w:rsid w:val="008A784D"/>
    <w:rsid w:val="008A798F"/>
    <w:rsid w:val="008A7FB4"/>
    <w:rsid w:val="008B0B62"/>
    <w:rsid w:val="008B122C"/>
    <w:rsid w:val="008B1A08"/>
    <w:rsid w:val="008B1DE1"/>
    <w:rsid w:val="008B2A41"/>
    <w:rsid w:val="008B3514"/>
    <w:rsid w:val="008B372F"/>
    <w:rsid w:val="008B4142"/>
    <w:rsid w:val="008B7F7D"/>
    <w:rsid w:val="008C079A"/>
    <w:rsid w:val="008C0887"/>
    <w:rsid w:val="008C18BA"/>
    <w:rsid w:val="008C224C"/>
    <w:rsid w:val="008C48A5"/>
    <w:rsid w:val="008C540C"/>
    <w:rsid w:val="008C6401"/>
    <w:rsid w:val="008C667C"/>
    <w:rsid w:val="008C68DA"/>
    <w:rsid w:val="008C789F"/>
    <w:rsid w:val="008C7A20"/>
    <w:rsid w:val="008D10E8"/>
    <w:rsid w:val="008D1157"/>
    <w:rsid w:val="008D1172"/>
    <w:rsid w:val="008D119E"/>
    <w:rsid w:val="008D1251"/>
    <w:rsid w:val="008D15DC"/>
    <w:rsid w:val="008D24E0"/>
    <w:rsid w:val="008D2AD5"/>
    <w:rsid w:val="008D2B4E"/>
    <w:rsid w:val="008D2BB7"/>
    <w:rsid w:val="008D3510"/>
    <w:rsid w:val="008D3BFD"/>
    <w:rsid w:val="008D3D4E"/>
    <w:rsid w:val="008D4934"/>
    <w:rsid w:val="008D6385"/>
    <w:rsid w:val="008D728F"/>
    <w:rsid w:val="008D7440"/>
    <w:rsid w:val="008D78E8"/>
    <w:rsid w:val="008E0FB2"/>
    <w:rsid w:val="008E1E16"/>
    <w:rsid w:val="008E35B6"/>
    <w:rsid w:val="008E3B04"/>
    <w:rsid w:val="008E422D"/>
    <w:rsid w:val="008E53C4"/>
    <w:rsid w:val="008E547A"/>
    <w:rsid w:val="008E5F0B"/>
    <w:rsid w:val="008E607B"/>
    <w:rsid w:val="008E6915"/>
    <w:rsid w:val="008E69BC"/>
    <w:rsid w:val="008E6A19"/>
    <w:rsid w:val="008E7668"/>
    <w:rsid w:val="008E7ED6"/>
    <w:rsid w:val="008F0607"/>
    <w:rsid w:val="008F29B9"/>
    <w:rsid w:val="008F2D58"/>
    <w:rsid w:val="008F2F88"/>
    <w:rsid w:val="008F324F"/>
    <w:rsid w:val="008F34A4"/>
    <w:rsid w:val="008F3E01"/>
    <w:rsid w:val="008F5371"/>
    <w:rsid w:val="008F54EE"/>
    <w:rsid w:val="008F5588"/>
    <w:rsid w:val="008F7016"/>
    <w:rsid w:val="009002B8"/>
    <w:rsid w:val="009007F1"/>
    <w:rsid w:val="00900E14"/>
    <w:rsid w:val="009011D4"/>
    <w:rsid w:val="009024C6"/>
    <w:rsid w:val="00902E44"/>
    <w:rsid w:val="009034C1"/>
    <w:rsid w:val="0090350C"/>
    <w:rsid w:val="00903D3A"/>
    <w:rsid w:val="00903D3C"/>
    <w:rsid w:val="00903E24"/>
    <w:rsid w:val="00904733"/>
    <w:rsid w:val="00904A21"/>
    <w:rsid w:val="00906D5D"/>
    <w:rsid w:val="0090713D"/>
    <w:rsid w:val="00907249"/>
    <w:rsid w:val="0090773A"/>
    <w:rsid w:val="00907BE2"/>
    <w:rsid w:val="009104B1"/>
    <w:rsid w:val="00911BEA"/>
    <w:rsid w:val="00911E08"/>
    <w:rsid w:val="009120CD"/>
    <w:rsid w:val="00912FC7"/>
    <w:rsid w:val="00913757"/>
    <w:rsid w:val="0091397B"/>
    <w:rsid w:val="00913FDD"/>
    <w:rsid w:val="00914389"/>
    <w:rsid w:val="009163A0"/>
    <w:rsid w:val="00916522"/>
    <w:rsid w:val="00916F93"/>
    <w:rsid w:val="009173DC"/>
    <w:rsid w:val="0091751C"/>
    <w:rsid w:val="009179D7"/>
    <w:rsid w:val="0092083A"/>
    <w:rsid w:val="009214C6"/>
    <w:rsid w:val="009216A7"/>
    <w:rsid w:val="00921FDE"/>
    <w:rsid w:val="00922181"/>
    <w:rsid w:val="00922CD9"/>
    <w:rsid w:val="00922E85"/>
    <w:rsid w:val="0092345E"/>
    <w:rsid w:val="00923AB5"/>
    <w:rsid w:val="009240BF"/>
    <w:rsid w:val="009246A7"/>
    <w:rsid w:val="00925099"/>
    <w:rsid w:val="0092557C"/>
    <w:rsid w:val="009257AD"/>
    <w:rsid w:val="009257CC"/>
    <w:rsid w:val="00925A05"/>
    <w:rsid w:val="009263ED"/>
    <w:rsid w:val="00926A81"/>
    <w:rsid w:val="00927070"/>
    <w:rsid w:val="00931ADB"/>
    <w:rsid w:val="00933265"/>
    <w:rsid w:val="00933B50"/>
    <w:rsid w:val="0093466B"/>
    <w:rsid w:val="009353D6"/>
    <w:rsid w:val="00936977"/>
    <w:rsid w:val="00937630"/>
    <w:rsid w:val="00937652"/>
    <w:rsid w:val="00937AAE"/>
    <w:rsid w:val="00937EE6"/>
    <w:rsid w:val="00940781"/>
    <w:rsid w:val="00940C32"/>
    <w:rsid w:val="009418A1"/>
    <w:rsid w:val="00941E9B"/>
    <w:rsid w:val="0094241D"/>
    <w:rsid w:val="0094278B"/>
    <w:rsid w:val="009429A2"/>
    <w:rsid w:val="00942DDF"/>
    <w:rsid w:val="00943443"/>
    <w:rsid w:val="009445D6"/>
    <w:rsid w:val="00944603"/>
    <w:rsid w:val="00944732"/>
    <w:rsid w:val="009449A1"/>
    <w:rsid w:val="00944B08"/>
    <w:rsid w:val="009466A2"/>
    <w:rsid w:val="009506F3"/>
    <w:rsid w:val="00950F92"/>
    <w:rsid w:val="0095116C"/>
    <w:rsid w:val="0095332F"/>
    <w:rsid w:val="00953EC0"/>
    <w:rsid w:val="0095445E"/>
    <w:rsid w:val="009545CB"/>
    <w:rsid w:val="00954F12"/>
    <w:rsid w:val="00955162"/>
    <w:rsid w:val="0095528B"/>
    <w:rsid w:val="00955B91"/>
    <w:rsid w:val="00955CBA"/>
    <w:rsid w:val="00956DA5"/>
    <w:rsid w:val="009570BD"/>
    <w:rsid w:val="00957429"/>
    <w:rsid w:val="00957B22"/>
    <w:rsid w:val="00957C9E"/>
    <w:rsid w:val="00960690"/>
    <w:rsid w:val="00961832"/>
    <w:rsid w:val="009618D6"/>
    <w:rsid w:val="009639E3"/>
    <w:rsid w:val="00964B5E"/>
    <w:rsid w:val="0096513A"/>
    <w:rsid w:val="00965451"/>
    <w:rsid w:val="00965900"/>
    <w:rsid w:val="00967869"/>
    <w:rsid w:val="009679EF"/>
    <w:rsid w:val="00970C2F"/>
    <w:rsid w:val="00970EFB"/>
    <w:rsid w:val="0097196C"/>
    <w:rsid w:val="00972C1B"/>
    <w:rsid w:val="00973236"/>
    <w:rsid w:val="009736B8"/>
    <w:rsid w:val="00974085"/>
    <w:rsid w:val="0097416C"/>
    <w:rsid w:val="00974C9C"/>
    <w:rsid w:val="00976832"/>
    <w:rsid w:val="00976BA4"/>
    <w:rsid w:val="009770FD"/>
    <w:rsid w:val="00977468"/>
    <w:rsid w:val="0098137F"/>
    <w:rsid w:val="00983658"/>
    <w:rsid w:val="00984950"/>
    <w:rsid w:val="00986444"/>
    <w:rsid w:val="00986D44"/>
    <w:rsid w:val="00986F20"/>
    <w:rsid w:val="00987B33"/>
    <w:rsid w:val="00987B6E"/>
    <w:rsid w:val="009902AB"/>
    <w:rsid w:val="009917E1"/>
    <w:rsid w:val="009920A6"/>
    <w:rsid w:val="00993D99"/>
    <w:rsid w:val="009940AE"/>
    <w:rsid w:val="009941F9"/>
    <w:rsid w:val="009947E9"/>
    <w:rsid w:val="00995008"/>
    <w:rsid w:val="00995DA4"/>
    <w:rsid w:val="00995DED"/>
    <w:rsid w:val="009962C8"/>
    <w:rsid w:val="00996589"/>
    <w:rsid w:val="009A00D3"/>
    <w:rsid w:val="009A19D4"/>
    <w:rsid w:val="009A2E44"/>
    <w:rsid w:val="009A319E"/>
    <w:rsid w:val="009A47E8"/>
    <w:rsid w:val="009A4848"/>
    <w:rsid w:val="009A52D8"/>
    <w:rsid w:val="009A5B5D"/>
    <w:rsid w:val="009A5BB1"/>
    <w:rsid w:val="009A5E42"/>
    <w:rsid w:val="009A663D"/>
    <w:rsid w:val="009A795E"/>
    <w:rsid w:val="009A7C59"/>
    <w:rsid w:val="009A7D01"/>
    <w:rsid w:val="009B1A8C"/>
    <w:rsid w:val="009B3B31"/>
    <w:rsid w:val="009B3C7F"/>
    <w:rsid w:val="009B3D13"/>
    <w:rsid w:val="009B462E"/>
    <w:rsid w:val="009B478C"/>
    <w:rsid w:val="009B4836"/>
    <w:rsid w:val="009B6DD5"/>
    <w:rsid w:val="009B6F7C"/>
    <w:rsid w:val="009B6FEF"/>
    <w:rsid w:val="009B7A8F"/>
    <w:rsid w:val="009C01F7"/>
    <w:rsid w:val="009C0243"/>
    <w:rsid w:val="009C15A1"/>
    <w:rsid w:val="009C198D"/>
    <w:rsid w:val="009C38AC"/>
    <w:rsid w:val="009C39F0"/>
    <w:rsid w:val="009C4428"/>
    <w:rsid w:val="009C48AD"/>
    <w:rsid w:val="009C4AB4"/>
    <w:rsid w:val="009C52D4"/>
    <w:rsid w:val="009C560E"/>
    <w:rsid w:val="009C6C7F"/>
    <w:rsid w:val="009C71D9"/>
    <w:rsid w:val="009D124B"/>
    <w:rsid w:val="009D12B8"/>
    <w:rsid w:val="009D16D6"/>
    <w:rsid w:val="009D18A6"/>
    <w:rsid w:val="009D4A35"/>
    <w:rsid w:val="009D4BCB"/>
    <w:rsid w:val="009D512A"/>
    <w:rsid w:val="009D5198"/>
    <w:rsid w:val="009D5BCC"/>
    <w:rsid w:val="009D6E79"/>
    <w:rsid w:val="009E011A"/>
    <w:rsid w:val="009E185A"/>
    <w:rsid w:val="009E1C54"/>
    <w:rsid w:val="009E1F19"/>
    <w:rsid w:val="009E247A"/>
    <w:rsid w:val="009E326A"/>
    <w:rsid w:val="009E38AC"/>
    <w:rsid w:val="009E39BA"/>
    <w:rsid w:val="009E3A28"/>
    <w:rsid w:val="009E3AA0"/>
    <w:rsid w:val="009E40E6"/>
    <w:rsid w:val="009E5020"/>
    <w:rsid w:val="009E665B"/>
    <w:rsid w:val="009E6815"/>
    <w:rsid w:val="009E7F3C"/>
    <w:rsid w:val="009F0152"/>
    <w:rsid w:val="009F03D9"/>
    <w:rsid w:val="009F10D8"/>
    <w:rsid w:val="009F1740"/>
    <w:rsid w:val="009F195C"/>
    <w:rsid w:val="009F2DDF"/>
    <w:rsid w:val="009F39F2"/>
    <w:rsid w:val="009F4301"/>
    <w:rsid w:val="009F49D5"/>
    <w:rsid w:val="009F4F9E"/>
    <w:rsid w:val="009F5F76"/>
    <w:rsid w:val="009F624F"/>
    <w:rsid w:val="009F7817"/>
    <w:rsid w:val="00A00474"/>
    <w:rsid w:val="00A005AD"/>
    <w:rsid w:val="00A00879"/>
    <w:rsid w:val="00A00958"/>
    <w:rsid w:val="00A014DE"/>
    <w:rsid w:val="00A02344"/>
    <w:rsid w:val="00A02DEC"/>
    <w:rsid w:val="00A0356E"/>
    <w:rsid w:val="00A04988"/>
    <w:rsid w:val="00A05755"/>
    <w:rsid w:val="00A05923"/>
    <w:rsid w:val="00A06FE7"/>
    <w:rsid w:val="00A07E14"/>
    <w:rsid w:val="00A1021C"/>
    <w:rsid w:val="00A11146"/>
    <w:rsid w:val="00A11205"/>
    <w:rsid w:val="00A11F50"/>
    <w:rsid w:val="00A12705"/>
    <w:rsid w:val="00A12787"/>
    <w:rsid w:val="00A132CB"/>
    <w:rsid w:val="00A13F2B"/>
    <w:rsid w:val="00A14383"/>
    <w:rsid w:val="00A152D9"/>
    <w:rsid w:val="00A156DA"/>
    <w:rsid w:val="00A15DA7"/>
    <w:rsid w:val="00A1695B"/>
    <w:rsid w:val="00A1724D"/>
    <w:rsid w:val="00A17C8C"/>
    <w:rsid w:val="00A17E96"/>
    <w:rsid w:val="00A201D2"/>
    <w:rsid w:val="00A202DF"/>
    <w:rsid w:val="00A20747"/>
    <w:rsid w:val="00A21218"/>
    <w:rsid w:val="00A213CD"/>
    <w:rsid w:val="00A21D8F"/>
    <w:rsid w:val="00A22E19"/>
    <w:rsid w:val="00A24CA1"/>
    <w:rsid w:val="00A2517F"/>
    <w:rsid w:val="00A25F09"/>
    <w:rsid w:val="00A267C5"/>
    <w:rsid w:val="00A3037E"/>
    <w:rsid w:val="00A32F5F"/>
    <w:rsid w:val="00A33C25"/>
    <w:rsid w:val="00A3421D"/>
    <w:rsid w:val="00A34D69"/>
    <w:rsid w:val="00A35573"/>
    <w:rsid w:val="00A36516"/>
    <w:rsid w:val="00A3674F"/>
    <w:rsid w:val="00A37ADD"/>
    <w:rsid w:val="00A37B65"/>
    <w:rsid w:val="00A40B0C"/>
    <w:rsid w:val="00A41155"/>
    <w:rsid w:val="00A41729"/>
    <w:rsid w:val="00A4187D"/>
    <w:rsid w:val="00A43121"/>
    <w:rsid w:val="00A438DD"/>
    <w:rsid w:val="00A45646"/>
    <w:rsid w:val="00A45E45"/>
    <w:rsid w:val="00A46202"/>
    <w:rsid w:val="00A4634C"/>
    <w:rsid w:val="00A4654B"/>
    <w:rsid w:val="00A46747"/>
    <w:rsid w:val="00A467B1"/>
    <w:rsid w:val="00A4680C"/>
    <w:rsid w:val="00A47B2E"/>
    <w:rsid w:val="00A50832"/>
    <w:rsid w:val="00A50F25"/>
    <w:rsid w:val="00A51B2D"/>
    <w:rsid w:val="00A52509"/>
    <w:rsid w:val="00A528E8"/>
    <w:rsid w:val="00A52D07"/>
    <w:rsid w:val="00A52E09"/>
    <w:rsid w:val="00A52E10"/>
    <w:rsid w:val="00A53231"/>
    <w:rsid w:val="00A5349C"/>
    <w:rsid w:val="00A53C95"/>
    <w:rsid w:val="00A54312"/>
    <w:rsid w:val="00A547EF"/>
    <w:rsid w:val="00A5507A"/>
    <w:rsid w:val="00A559C9"/>
    <w:rsid w:val="00A55A96"/>
    <w:rsid w:val="00A561D2"/>
    <w:rsid w:val="00A5686A"/>
    <w:rsid w:val="00A56F81"/>
    <w:rsid w:val="00A56FAC"/>
    <w:rsid w:val="00A60B11"/>
    <w:rsid w:val="00A6104B"/>
    <w:rsid w:val="00A61DCB"/>
    <w:rsid w:val="00A63064"/>
    <w:rsid w:val="00A643A1"/>
    <w:rsid w:val="00A65477"/>
    <w:rsid w:val="00A6656A"/>
    <w:rsid w:val="00A6689A"/>
    <w:rsid w:val="00A66995"/>
    <w:rsid w:val="00A66DC1"/>
    <w:rsid w:val="00A67CF6"/>
    <w:rsid w:val="00A70E09"/>
    <w:rsid w:val="00A713C6"/>
    <w:rsid w:val="00A723AB"/>
    <w:rsid w:val="00A72E4C"/>
    <w:rsid w:val="00A7367D"/>
    <w:rsid w:val="00A74420"/>
    <w:rsid w:val="00A7507E"/>
    <w:rsid w:val="00A7527A"/>
    <w:rsid w:val="00A75A0C"/>
    <w:rsid w:val="00A7603C"/>
    <w:rsid w:val="00A76188"/>
    <w:rsid w:val="00A762ED"/>
    <w:rsid w:val="00A764EB"/>
    <w:rsid w:val="00A808D9"/>
    <w:rsid w:val="00A80AB2"/>
    <w:rsid w:val="00A8101D"/>
    <w:rsid w:val="00A81367"/>
    <w:rsid w:val="00A81597"/>
    <w:rsid w:val="00A8179D"/>
    <w:rsid w:val="00A8181C"/>
    <w:rsid w:val="00A81B78"/>
    <w:rsid w:val="00A82DBB"/>
    <w:rsid w:val="00A83040"/>
    <w:rsid w:val="00A847D5"/>
    <w:rsid w:val="00A84800"/>
    <w:rsid w:val="00A85C2F"/>
    <w:rsid w:val="00A867D6"/>
    <w:rsid w:val="00A87237"/>
    <w:rsid w:val="00A9015D"/>
    <w:rsid w:val="00A902E4"/>
    <w:rsid w:val="00A909A1"/>
    <w:rsid w:val="00A90F9C"/>
    <w:rsid w:val="00A91605"/>
    <w:rsid w:val="00A91891"/>
    <w:rsid w:val="00A91A64"/>
    <w:rsid w:val="00A9222C"/>
    <w:rsid w:val="00A923D7"/>
    <w:rsid w:val="00A92950"/>
    <w:rsid w:val="00A95488"/>
    <w:rsid w:val="00A95738"/>
    <w:rsid w:val="00A95F19"/>
    <w:rsid w:val="00A96613"/>
    <w:rsid w:val="00A97593"/>
    <w:rsid w:val="00A97888"/>
    <w:rsid w:val="00A97906"/>
    <w:rsid w:val="00AA023E"/>
    <w:rsid w:val="00AA08FF"/>
    <w:rsid w:val="00AA2DA3"/>
    <w:rsid w:val="00AA3B72"/>
    <w:rsid w:val="00AA3FFA"/>
    <w:rsid w:val="00AA4CE8"/>
    <w:rsid w:val="00AA52A4"/>
    <w:rsid w:val="00AA6DFA"/>
    <w:rsid w:val="00AA7661"/>
    <w:rsid w:val="00AB01A0"/>
    <w:rsid w:val="00AB06BE"/>
    <w:rsid w:val="00AB369E"/>
    <w:rsid w:val="00AB3DD0"/>
    <w:rsid w:val="00AB4267"/>
    <w:rsid w:val="00AB4C7E"/>
    <w:rsid w:val="00AB4F1C"/>
    <w:rsid w:val="00AB5914"/>
    <w:rsid w:val="00AB5B90"/>
    <w:rsid w:val="00AB6867"/>
    <w:rsid w:val="00AB6F29"/>
    <w:rsid w:val="00AC0453"/>
    <w:rsid w:val="00AC1F1B"/>
    <w:rsid w:val="00AC20E0"/>
    <w:rsid w:val="00AC3F41"/>
    <w:rsid w:val="00AC45A2"/>
    <w:rsid w:val="00AC5105"/>
    <w:rsid w:val="00AC556E"/>
    <w:rsid w:val="00AC5C80"/>
    <w:rsid w:val="00AC6F2E"/>
    <w:rsid w:val="00AC74DA"/>
    <w:rsid w:val="00AD14A1"/>
    <w:rsid w:val="00AD261C"/>
    <w:rsid w:val="00AD27AA"/>
    <w:rsid w:val="00AD29F9"/>
    <w:rsid w:val="00AD34E9"/>
    <w:rsid w:val="00AD3A13"/>
    <w:rsid w:val="00AD3C15"/>
    <w:rsid w:val="00AD3F8B"/>
    <w:rsid w:val="00AD502A"/>
    <w:rsid w:val="00AD53BE"/>
    <w:rsid w:val="00AD55B6"/>
    <w:rsid w:val="00AD6266"/>
    <w:rsid w:val="00AD7AA3"/>
    <w:rsid w:val="00AE0ACE"/>
    <w:rsid w:val="00AE1551"/>
    <w:rsid w:val="00AE2222"/>
    <w:rsid w:val="00AE4046"/>
    <w:rsid w:val="00AE7ACF"/>
    <w:rsid w:val="00AE7D2A"/>
    <w:rsid w:val="00AF0986"/>
    <w:rsid w:val="00AF0BFE"/>
    <w:rsid w:val="00AF0D82"/>
    <w:rsid w:val="00AF20D8"/>
    <w:rsid w:val="00AF22AC"/>
    <w:rsid w:val="00AF3A79"/>
    <w:rsid w:val="00AF3C2D"/>
    <w:rsid w:val="00AF4D7B"/>
    <w:rsid w:val="00AF5285"/>
    <w:rsid w:val="00AF5A8A"/>
    <w:rsid w:val="00AF62A7"/>
    <w:rsid w:val="00AF75F0"/>
    <w:rsid w:val="00B0018E"/>
    <w:rsid w:val="00B00536"/>
    <w:rsid w:val="00B00763"/>
    <w:rsid w:val="00B007FB"/>
    <w:rsid w:val="00B00A7B"/>
    <w:rsid w:val="00B01874"/>
    <w:rsid w:val="00B01CC5"/>
    <w:rsid w:val="00B01D13"/>
    <w:rsid w:val="00B01E57"/>
    <w:rsid w:val="00B03055"/>
    <w:rsid w:val="00B03E82"/>
    <w:rsid w:val="00B03FFA"/>
    <w:rsid w:val="00B040BF"/>
    <w:rsid w:val="00B05087"/>
    <w:rsid w:val="00B05FC9"/>
    <w:rsid w:val="00B0616F"/>
    <w:rsid w:val="00B06AAF"/>
    <w:rsid w:val="00B07426"/>
    <w:rsid w:val="00B101F8"/>
    <w:rsid w:val="00B10641"/>
    <w:rsid w:val="00B11107"/>
    <w:rsid w:val="00B115FA"/>
    <w:rsid w:val="00B12082"/>
    <w:rsid w:val="00B12AA7"/>
    <w:rsid w:val="00B13DBF"/>
    <w:rsid w:val="00B14E0E"/>
    <w:rsid w:val="00B1548D"/>
    <w:rsid w:val="00B1588E"/>
    <w:rsid w:val="00B15C8C"/>
    <w:rsid w:val="00B15F91"/>
    <w:rsid w:val="00B161BF"/>
    <w:rsid w:val="00B173CD"/>
    <w:rsid w:val="00B204B8"/>
    <w:rsid w:val="00B20C66"/>
    <w:rsid w:val="00B21469"/>
    <w:rsid w:val="00B21E18"/>
    <w:rsid w:val="00B22483"/>
    <w:rsid w:val="00B22556"/>
    <w:rsid w:val="00B228EF"/>
    <w:rsid w:val="00B22A87"/>
    <w:rsid w:val="00B22B3F"/>
    <w:rsid w:val="00B232FC"/>
    <w:rsid w:val="00B23B81"/>
    <w:rsid w:val="00B246AC"/>
    <w:rsid w:val="00B2477A"/>
    <w:rsid w:val="00B25603"/>
    <w:rsid w:val="00B26EC6"/>
    <w:rsid w:val="00B27DF3"/>
    <w:rsid w:val="00B27F56"/>
    <w:rsid w:val="00B300B0"/>
    <w:rsid w:val="00B30782"/>
    <w:rsid w:val="00B30ACA"/>
    <w:rsid w:val="00B32E1B"/>
    <w:rsid w:val="00B33A37"/>
    <w:rsid w:val="00B34E66"/>
    <w:rsid w:val="00B40691"/>
    <w:rsid w:val="00B41376"/>
    <w:rsid w:val="00B416BF"/>
    <w:rsid w:val="00B41837"/>
    <w:rsid w:val="00B42FD7"/>
    <w:rsid w:val="00B43962"/>
    <w:rsid w:val="00B45183"/>
    <w:rsid w:val="00B456C6"/>
    <w:rsid w:val="00B467E1"/>
    <w:rsid w:val="00B468B5"/>
    <w:rsid w:val="00B46A35"/>
    <w:rsid w:val="00B4712D"/>
    <w:rsid w:val="00B503A7"/>
    <w:rsid w:val="00B50463"/>
    <w:rsid w:val="00B50676"/>
    <w:rsid w:val="00B50AEE"/>
    <w:rsid w:val="00B50BFB"/>
    <w:rsid w:val="00B53632"/>
    <w:rsid w:val="00B53A65"/>
    <w:rsid w:val="00B55129"/>
    <w:rsid w:val="00B57C89"/>
    <w:rsid w:val="00B6072F"/>
    <w:rsid w:val="00B6101F"/>
    <w:rsid w:val="00B61044"/>
    <w:rsid w:val="00B6181C"/>
    <w:rsid w:val="00B625C2"/>
    <w:rsid w:val="00B62B05"/>
    <w:rsid w:val="00B63A68"/>
    <w:rsid w:val="00B63B06"/>
    <w:rsid w:val="00B64243"/>
    <w:rsid w:val="00B6425A"/>
    <w:rsid w:val="00B64D11"/>
    <w:rsid w:val="00B652BF"/>
    <w:rsid w:val="00B65C55"/>
    <w:rsid w:val="00B66022"/>
    <w:rsid w:val="00B66034"/>
    <w:rsid w:val="00B66074"/>
    <w:rsid w:val="00B6643D"/>
    <w:rsid w:val="00B6758C"/>
    <w:rsid w:val="00B67CCF"/>
    <w:rsid w:val="00B7053A"/>
    <w:rsid w:val="00B70A81"/>
    <w:rsid w:val="00B727F9"/>
    <w:rsid w:val="00B72CB6"/>
    <w:rsid w:val="00B74CBC"/>
    <w:rsid w:val="00B7576C"/>
    <w:rsid w:val="00B757F8"/>
    <w:rsid w:val="00B75B43"/>
    <w:rsid w:val="00B75F14"/>
    <w:rsid w:val="00B76A4A"/>
    <w:rsid w:val="00B76DBB"/>
    <w:rsid w:val="00B7742D"/>
    <w:rsid w:val="00B805EF"/>
    <w:rsid w:val="00B82120"/>
    <w:rsid w:val="00B824D7"/>
    <w:rsid w:val="00B8284B"/>
    <w:rsid w:val="00B82CBE"/>
    <w:rsid w:val="00B82F52"/>
    <w:rsid w:val="00B8358A"/>
    <w:rsid w:val="00B83EAC"/>
    <w:rsid w:val="00B84305"/>
    <w:rsid w:val="00B84924"/>
    <w:rsid w:val="00B84F83"/>
    <w:rsid w:val="00B857AF"/>
    <w:rsid w:val="00B869E2"/>
    <w:rsid w:val="00B86E40"/>
    <w:rsid w:val="00B87D57"/>
    <w:rsid w:val="00B90A68"/>
    <w:rsid w:val="00B91474"/>
    <w:rsid w:val="00B92348"/>
    <w:rsid w:val="00B9247B"/>
    <w:rsid w:val="00B92A12"/>
    <w:rsid w:val="00B935F9"/>
    <w:rsid w:val="00B94900"/>
    <w:rsid w:val="00B949F5"/>
    <w:rsid w:val="00B950F0"/>
    <w:rsid w:val="00B953A5"/>
    <w:rsid w:val="00B95876"/>
    <w:rsid w:val="00B95F33"/>
    <w:rsid w:val="00B96580"/>
    <w:rsid w:val="00B96DE0"/>
    <w:rsid w:val="00B976D2"/>
    <w:rsid w:val="00B97C33"/>
    <w:rsid w:val="00B97EC9"/>
    <w:rsid w:val="00B97F1F"/>
    <w:rsid w:val="00BA0178"/>
    <w:rsid w:val="00BA0E0E"/>
    <w:rsid w:val="00BA23E1"/>
    <w:rsid w:val="00BA252D"/>
    <w:rsid w:val="00BA3727"/>
    <w:rsid w:val="00BA4888"/>
    <w:rsid w:val="00BA6063"/>
    <w:rsid w:val="00BA71DB"/>
    <w:rsid w:val="00BA7771"/>
    <w:rsid w:val="00BB018D"/>
    <w:rsid w:val="00BB0A39"/>
    <w:rsid w:val="00BB3364"/>
    <w:rsid w:val="00BB3909"/>
    <w:rsid w:val="00BB3B71"/>
    <w:rsid w:val="00BB49A5"/>
    <w:rsid w:val="00BB4F38"/>
    <w:rsid w:val="00BB60E6"/>
    <w:rsid w:val="00BB6208"/>
    <w:rsid w:val="00BB6371"/>
    <w:rsid w:val="00BB647C"/>
    <w:rsid w:val="00BB6AEA"/>
    <w:rsid w:val="00BB728A"/>
    <w:rsid w:val="00BB79B6"/>
    <w:rsid w:val="00BB7C7A"/>
    <w:rsid w:val="00BC1A87"/>
    <w:rsid w:val="00BC2CD2"/>
    <w:rsid w:val="00BC3388"/>
    <w:rsid w:val="00BC34C3"/>
    <w:rsid w:val="00BC3FAB"/>
    <w:rsid w:val="00BC435C"/>
    <w:rsid w:val="00BC4421"/>
    <w:rsid w:val="00BC44EF"/>
    <w:rsid w:val="00BC577C"/>
    <w:rsid w:val="00BC5A7C"/>
    <w:rsid w:val="00BC781C"/>
    <w:rsid w:val="00BD002E"/>
    <w:rsid w:val="00BD01D5"/>
    <w:rsid w:val="00BD0240"/>
    <w:rsid w:val="00BD0733"/>
    <w:rsid w:val="00BD083E"/>
    <w:rsid w:val="00BD0A81"/>
    <w:rsid w:val="00BD106B"/>
    <w:rsid w:val="00BD10DD"/>
    <w:rsid w:val="00BD10FA"/>
    <w:rsid w:val="00BD1190"/>
    <w:rsid w:val="00BD120F"/>
    <w:rsid w:val="00BD1334"/>
    <w:rsid w:val="00BD31AE"/>
    <w:rsid w:val="00BD3604"/>
    <w:rsid w:val="00BD3DFC"/>
    <w:rsid w:val="00BD48B6"/>
    <w:rsid w:val="00BD520F"/>
    <w:rsid w:val="00BD545B"/>
    <w:rsid w:val="00BD5D04"/>
    <w:rsid w:val="00BD6636"/>
    <w:rsid w:val="00BD6725"/>
    <w:rsid w:val="00BD7F33"/>
    <w:rsid w:val="00BE0A5B"/>
    <w:rsid w:val="00BE122D"/>
    <w:rsid w:val="00BE153B"/>
    <w:rsid w:val="00BE15AC"/>
    <w:rsid w:val="00BE2C03"/>
    <w:rsid w:val="00BE2F99"/>
    <w:rsid w:val="00BE5FDF"/>
    <w:rsid w:val="00BE63F2"/>
    <w:rsid w:val="00BE6593"/>
    <w:rsid w:val="00BE6A07"/>
    <w:rsid w:val="00BE70FD"/>
    <w:rsid w:val="00BE72DF"/>
    <w:rsid w:val="00BF045A"/>
    <w:rsid w:val="00BF054D"/>
    <w:rsid w:val="00BF0F61"/>
    <w:rsid w:val="00BF16F4"/>
    <w:rsid w:val="00BF218A"/>
    <w:rsid w:val="00BF22A6"/>
    <w:rsid w:val="00BF2C12"/>
    <w:rsid w:val="00BF2CD6"/>
    <w:rsid w:val="00BF30BB"/>
    <w:rsid w:val="00BF39E4"/>
    <w:rsid w:val="00BF3F0D"/>
    <w:rsid w:val="00BF4E43"/>
    <w:rsid w:val="00BF61B0"/>
    <w:rsid w:val="00BF6BD1"/>
    <w:rsid w:val="00BF6CFC"/>
    <w:rsid w:val="00BF7024"/>
    <w:rsid w:val="00BF71E2"/>
    <w:rsid w:val="00BF7BE8"/>
    <w:rsid w:val="00C002AD"/>
    <w:rsid w:val="00C00A87"/>
    <w:rsid w:val="00C00E83"/>
    <w:rsid w:val="00C01041"/>
    <w:rsid w:val="00C01093"/>
    <w:rsid w:val="00C010E0"/>
    <w:rsid w:val="00C013F8"/>
    <w:rsid w:val="00C0171F"/>
    <w:rsid w:val="00C01776"/>
    <w:rsid w:val="00C01A27"/>
    <w:rsid w:val="00C01BB3"/>
    <w:rsid w:val="00C024C6"/>
    <w:rsid w:val="00C02590"/>
    <w:rsid w:val="00C02619"/>
    <w:rsid w:val="00C02D9F"/>
    <w:rsid w:val="00C03FF2"/>
    <w:rsid w:val="00C04087"/>
    <w:rsid w:val="00C04B64"/>
    <w:rsid w:val="00C06987"/>
    <w:rsid w:val="00C06D5E"/>
    <w:rsid w:val="00C07038"/>
    <w:rsid w:val="00C070CF"/>
    <w:rsid w:val="00C07275"/>
    <w:rsid w:val="00C103F3"/>
    <w:rsid w:val="00C10446"/>
    <w:rsid w:val="00C108F5"/>
    <w:rsid w:val="00C12018"/>
    <w:rsid w:val="00C1324E"/>
    <w:rsid w:val="00C1403F"/>
    <w:rsid w:val="00C152F9"/>
    <w:rsid w:val="00C1722F"/>
    <w:rsid w:val="00C216AF"/>
    <w:rsid w:val="00C23138"/>
    <w:rsid w:val="00C241E7"/>
    <w:rsid w:val="00C24DEC"/>
    <w:rsid w:val="00C26774"/>
    <w:rsid w:val="00C26AB1"/>
    <w:rsid w:val="00C26E66"/>
    <w:rsid w:val="00C277AD"/>
    <w:rsid w:val="00C30616"/>
    <w:rsid w:val="00C30761"/>
    <w:rsid w:val="00C32032"/>
    <w:rsid w:val="00C32458"/>
    <w:rsid w:val="00C3258E"/>
    <w:rsid w:val="00C32A64"/>
    <w:rsid w:val="00C335AB"/>
    <w:rsid w:val="00C335E9"/>
    <w:rsid w:val="00C34032"/>
    <w:rsid w:val="00C35BD3"/>
    <w:rsid w:val="00C37071"/>
    <w:rsid w:val="00C3739C"/>
    <w:rsid w:val="00C375F4"/>
    <w:rsid w:val="00C37B50"/>
    <w:rsid w:val="00C37DDD"/>
    <w:rsid w:val="00C4036A"/>
    <w:rsid w:val="00C40E82"/>
    <w:rsid w:val="00C40FAF"/>
    <w:rsid w:val="00C41109"/>
    <w:rsid w:val="00C4131B"/>
    <w:rsid w:val="00C4178F"/>
    <w:rsid w:val="00C41C7D"/>
    <w:rsid w:val="00C42477"/>
    <w:rsid w:val="00C43ED3"/>
    <w:rsid w:val="00C4567E"/>
    <w:rsid w:val="00C45AAA"/>
    <w:rsid w:val="00C46C21"/>
    <w:rsid w:val="00C474EB"/>
    <w:rsid w:val="00C4770C"/>
    <w:rsid w:val="00C47C1B"/>
    <w:rsid w:val="00C4AFD3"/>
    <w:rsid w:val="00C512AB"/>
    <w:rsid w:val="00C51DFE"/>
    <w:rsid w:val="00C521E3"/>
    <w:rsid w:val="00C52217"/>
    <w:rsid w:val="00C52BF3"/>
    <w:rsid w:val="00C52DAB"/>
    <w:rsid w:val="00C52EA7"/>
    <w:rsid w:val="00C53236"/>
    <w:rsid w:val="00C537A7"/>
    <w:rsid w:val="00C53EB2"/>
    <w:rsid w:val="00C546DC"/>
    <w:rsid w:val="00C547AA"/>
    <w:rsid w:val="00C54BD8"/>
    <w:rsid w:val="00C5511D"/>
    <w:rsid w:val="00C55132"/>
    <w:rsid w:val="00C555E3"/>
    <w:rsid w:val="00C55F15"/>
    <w:rsid w:val="00C569BE"/>
    <w:rsid w:val="00C56D7F"/>
    <w:rsid w:val="00C571D5"/>
    <w:rsid w:val="00C57358"/>
    <w:rsid w:val="00C577DB"/>
    <w:rsid w:val="00C57857"/>
    <w:rsid w:val="00C612AF"/>
    <w:rsid w:val="00C61714"/>
    <w:rsid w:val="00C623A3"/>
    <w:rsid w:val="00C6254C"/>
    <w:rsid w:val="00C629EF"/>
    <w:rsid w:val="00C6333D"/>
    <w:rsid w:val="00C63BDD"/>
    <w:rsid w:val="00C63E39"/>
    <w:rsid w:val="00C64F1E"/>
    <w:rsid w:val="00C6511F"/>
    <w:rsid w:val="00C65122"/>
    <w:rsid w:val="00C657F8"/>
    <w:rsid w:val="00C65C7C"/>
    <w:rsid w:val="00C65E1A"/>
    <w:rsid w:val="00C665E2"/>
    <w:rsid w:val="00C70902"/>
    <w:rsid w:val="00C70F69"/>
    <w:rsid w:val="00C713F1"/>
    <w:rsid w:val="00C714E9"/>
    <w:rsid w:val="00C72126"/>
    <w:rsid w:val="00C721AF"/>
    <w:rsid w:val="00C736B8"/>
    <w:rsid w:val="00C74228"/>
    <w:rsid w:val="00C74296"/>
    <w:rsid w:val="00C75DAB"/>
    <w:rsid w:val="00C7744D"/>
    <w:rsid w:val="00C8054F"/>
    <w:rsid w:val="00C80C70"/>
    <w:rsid w:val="00C812E5"/>
    <w:rsid w:val="00C82885"/>
    <w:rsid w:val="00C83321"/>
    <w:rsid w:val="00C83467"/>
    <w:rsid w:val="00C848AE"/>
    <w:rsid w:val="00C851CD"/>
    <w:rsid w:val="00C8617D"/>
    <w:rsid w:val="00C863EF"/>
    <w:rsid w:val="00C866AA"/>
    <w:rsid w:val="00C86958"/>
    <w:rsid w:val="00C86AB8"/>
    <w:rsid w:val="00C86B4A"/>
    <w:rsid w:val="00C8709F"/>
    <w:rsid w:val="00C87198"/>
    <w:rsid w:val="00C87459"/>
    <w:rsid w:val="00C87DC8"/>
    <w:rsid w:val="00C87F2D"/>
    <w:rsid w:val="00C9052A"/>
    <w:rsid w:val="00C90A32"/>
    <w:rsid w:val="00C90D01"/>
    <w:rsid w:val="00C9187A"/>
    <w:rsid w:val="00C92C09"/>
    <w:rsid w:val="00C9313B"/>
    <w:rsid w:val="00C9341A"/>
    <w:rsid w:val="00C93EC7"/>
    <w:rsid w:val="00C94494"/>
    <w:rsid w:val="00C94F6B"/>
    <w:rsid w:val="00C958A6"/>
    <w:rsid w:val="00C96223"/>
    <w:rsid w:val="00C9680F"/>
    <w:rsid w:val="00C97397"/>
    <w:rsid w:val="00CA1306"/>
    <w:rsid w:val="00CA1F4C"/>
    <w:rsid w:val="00CA33AF"/>
    <w:rsid w:val="00CA349D"/>
    <w:rsid w:val="00CA4462"/>
    <w:rsid w:val="00CA49E0"/>
    <w:rsid w:val="00CA6B18"/>
    <w:rsid w:val="00CA6E0E"/>
    <w:rsid w:val="00CB0234"/>
    <w:rsid w:val="00CB0508"/>
    <w:rsid w:val="00CB090B"/>
    <w:rsid w:val="00CB0D1D"/>
    <w:rsid w:val="00CB20AF"/>
    <w:rsid w:val="00CB2837"/>
    <w:rsid w:val="00CB2F44"/>
    <w:rsid w:val="00CB38C3"/>
    <w:rsid w:val="00CB40A4"/>
    <w:rsid w:val="00CB4BCF"/>
    <w:rsid w:val="00CB53CE"/>
    <w:rsid w:val="00CB62BB"/>
    <w:rsid w:val="00CB66B0"/>
    <w:rsid w:val="00CB674A"/>
    <w:rsid w:val="00CB6849"/>
    <w:rsid w:val="00CB7464"/>
    <w:rsid w:val="00CC10B6"/>
    <w:rsid w:val="00CC2036"/>
    <w:rsid w:val="00CC24E7"/>
    <w:rsid w:val="00CC2527"/>
    <w:rsid w:val="00CC5291"/>
    <w:rsid w:val="00CC56EC"/>
    <w:rsid w:val="00CC63D3"/>
    <w:rsid w:val="00CC7B8F"/>
    <w:rsid w:val="00CD11A4"/>
    <w:rsid w:val="00CD17DD"/>
    <w:rsid w:val="00CD1888"/>
    <w:rsid w:val="00CD334E"/>
    <w:rsid w:val="00CD4380"/>
    <w:rsid w:val="00CD44BE"/>
    <w:rsid w:val="00CD4AD6"/>
    <w:rsid w:val="00CD4AE8"/>
    <w:rsid w:val="00CD4BBC"/>
    <w:rsid w:val="00CD4DDA"/>
    <w:rsid w:val="00CD5A52"/>
    <w:rsid w:val="00CD6156"/>
    <w:rsid w:val="00CD6577"/>
    <w:rsid w:val="00CD71DE"/>
    <w:rsid w:val="00CD74F8"/>
    <w:rsid w:val="00CD78CD"/>
    <w:rsid w:val="00CE093B"/>
    <w:rsid w:val="00CE1F1F"/>
    <w:rsid w:val="00CE46AD"/>
    <w:rsid w:val="00CE4DFD"/>
    <w:rsid w:val="00CE605A"/>
    <w:rsid w:val="00CE68BF"/>
    <w:rsid w:val="00CE6D6F"/>
    <w:rsid w:val="00CF1241"/>
    <w:rsid w:val="00CF1737"/>
    <w:rsid w:val="00CF2673"/>
    <w:rsid w:val="00CF2B54"/>
    <w:rsid w:val="00CF43C2"/>
    <w:rsid w:val="00CF542F"/>
    <w:rsid w:val="00CF61DC"/>
    <w:rsid w:val="00CF62F0"/>
    <w:rsid w:val="00CF6311"/>
    <w:rsid w:val="00CF69A5"/>
    <w:rsid w:val="00CF6AD2"/>
    <w:rsid w:val="00CF7F81"/>
    <w:rsid w:val="00D00217"/>
    <w:rsid w:val="00D01944"/>
    <w:rsid w:val="00D01C65"/>
    <w:rsid w:val="00D01F4B"/>
    <w:rsid w:val="00D025C0"/>
    <w:rsid w:val="00D02739"/>
    <w:rsid w:val="00D033AC"/>
    <w:rsid w:val="00D0340C"/>
    <w:rsid w:val="00D03EBC"/>
    <w:rsid w:val="00D043C9"/>
    <w:rsid w:val="00D049E5"/>
    <w:rsid w:val="00D054CD"/>
    <w:rsid w:val="00D05A4E"/>
    <w:rsid w:val="00D05CC3"/>
    <w:rsid w:val="00D06E75"/>
    <w:rsid w:val="00D07B38"/>
    <w:rsid w:val="00D07F1D"/>
    <w:rsid w:val="00D1114E"/>
    <w:rsid w:val="00D11A40"/>
    <w:rsid w:val="00D11C55"/>
    <w:rsid w:val="00D123D9"/>
    <w:rsid w:val="00D12C8C"/>
    <w:rsid w:val="00D1387E"/>
    <w:rsid w:val="00D13B4A"/>
    <w:rsid w:val="00D14A1C"/>
    <w:rsid w:val="00D14D9B"/>
    <w:rsid w:val="00D15120"/>
    <w:rsid w:val="00D15774"/>
    <w:rsid w:val="00D158D9"/>
    <w:rsid w:val="00D16C04"/>
    <w:rsid w:val="00D17AE2"/>
    <w:rsid w:val="00D2001E"/>
    <w:rsid w:val="00D204EA"/>
    <w:rsid w:val="00D2065F"/>
    <w:rsid w:val="00D20CEB"/>
    <w:rsid w:val="00D21009"/>
    <w:rsid w:val="00D2107F"/>
    <w:rsid w:val="00D226A2"/>
    <w:rsid w:val="00D22A14"/>
    <w:rsid w:val="00D24197"/>
    <w:rsid w:val="00D2462F"/>
    <w:rsid w:val="00D24FA0"/>
    <w:rsid w:val="00D2539C"/>
    <w:rsid w:val="00D27B32"/>
    <w:rsid w:val="00D27B52"/>
    <w:rsid w:val="00D3322B"/>
    <w:rsid w:val="00D332FA"/>
    <w:rsid w:val="00D33473"/>
    <w:rsid w:val="00D3375A"/>
    <w:rsid w:val="00D33890"/>
    <w:rsid w:val="00D34429"/>
    <w:rsid w:val="00D34D3A"/>
    <w:rsid w:val="00D35D41"/>
    <w:rsid w:val="00D35F37"/>
    <w:rsid w:val="00D35F4F"/>
    <w:rsid w:val="00D37089"/>
    <w:rsid w:val="00D37DDF"/>
    <w:rsid w:val="00D402CD"/>
    <w:rsid w:val="00D40B4B"/>
    <w:rsid w:val="00D415A5"/>
    <w:rsid w:val="00D429DC"/>
    <w:rsid w:val="00D4460E"/>
    <w:rsid w:val="00D449F7"/>
    <w:rsid w:val="00D45103"/>
    <w:rsid w:val="00D45806"/>
    <w:rsid w:val="00D45ABE"/>
    <w:rsid w:val="00D45DF8"/>
    <w:rsid w:val="00D45E2A"/>
    <w:rsid w:val="00D4633B"/>
    <w:rsid w:val="00D46D55"/>
    <w:rsid w:val="00D472B6"/>
    <w:rsid w:val="00D47B97"/>
    <w:rsid w:val="00D5092C"/>
    <w:rsid w:val="00D509E6"/>
    <w:rsid w:val="00D50DAB"/>
    <w:rsid w:val="00D5180B"/>
    <w:rsid w:val="00D53313"/>
    <w:rsid w:val="00D558E8"/>
    <w:rsid w:val="00D55A51"/>
    <w:rsid w:val="00D565AF"/>
    <w:rsid w:val="00D56C5A"/>
    <w:rsid w:val="00D57337"/>
    <w:rsid w:val="00D57481"/>
    <w:rsid w:val="00D5790F"/>
    <w:rsid w:val="00D57BA9"/>
    <w:rsid w:val="00D57CD0"/>
    <w:rsid w:val="00D602B0"/>
    <w:rsid w:val="00D602EB"/>
    <w:rsid w:val="00D60E55"/>
    <w:rsid w:val="00D6103B"/>
    <w:rsid w:val="00D61C66"/>
    <w:rsid w:val="00D61FF3"/>
    <w:rsid w:val="00D62734"/>
    <w:rsid w:val="00D62D51"/>
    <w:rsid w:val="00D63812"/>
    <w:rsid w:val="00D64AE1"/>
    <w:rsid w:val="00D64F2A"/>
    <w:rsid w:val="00D668B6"/>
    <w:rsid w:val="00D67197"/>
    <w:rsid w:val="00D707D8"/>
    <w:rsid w:val="00D71AAB"/>
    <w:rsid w:val="00D7358E"/>
    <w:rsid w:val="00D736D3"/>
    <w:rsid w:val="00D75431"/>
    <w:rsid w:val="00D7ECB9"/>
    <w:rsid w:val="00D8060A"/>
    <w:rsid w:val="00D81736"/>
    <w:rsid w:val="00D81CB7"/>
    <w:rsid w:val="00D82426"/>
    <w:rsid w:val="00D82D88"/>
    <w:rsid w:val="00D82E04"/>
    <w:rsid w:val="00D839B3"/>
    <w:rsid w:val="00D84679"/>
    <w:rsid w:val="00D8473E"/>
    <w:rsid w:val="00D84DD1"/>
    <w:rsid w:val="00D84E11"/>
    <w:rsid w:val="00D85884"/>
    <w:rsid w:val="00D867A6"/>
    <w:rsid w:val="00D86B7A"/>
    <w:rsid w:val="00D9034F"/>
    <w:rsid w:val="00D90919"/>
    <w:rsid w:val="00D91B7E"/>
    <w:rsid w:val="00D9218F"/>
    <w:rsid w:val="00D924BB"/>
    <w:rsid w:val="00D92CE9"/>
    <w:rsid w:val="00D93111"/>
    <w:rsid w:val="00D93A6D"/>
    <w:rsid w:val="00D9450D"/>
    <w:rsid w:val="00D947C8"/>
    <w:rsid w:val="00D95CC6"/>
    <w:rsid w:val="00D95D09"/>
    <w:rsid w:val="00D95EA8"/>
    <w:rsid w:val="00D962CC"/>
    <w:rsid w:val="00D96417"/>
    <w:rsid w:val="00D976F2"/>
    <w:rsid w:val="00DA02DA"/>
    <w:rsid w:val="00DA1121"/>
    <w:rsid w:val="00DA144D"/>
    <w:rsid w:val="00DA21EA"/>
    <w:rsid w:val="00DA2461"/>
    <w:rsid w:val="00DA246F"/>
    <w:rsid w:val="00DA2612"/>
    <w:rsid w:val="00DA3309"/>
    <w:rsid w:val="00DA35A1"/>
    <w:rsid w:val="00DA393E"/>
    <w:rsid w:val="00DA47CF"/>
    <w:rsid w:val="00DA55EE"/>
    <w:rsid w:val="00DA58DF"/>
    <w:rsid w:val="00DA6295"/>
    <w:rsid w:val="00DA691F"/>
    <w:rsid w:val="00DA6DEC"/>
    <w:rsid w:val="00DA749B"/>
    <w:rsid w:val="00DA75A8"/>
    <w:rsid w:val="00DA762E"/>
    <w:rsid w:val="00DB02F4"/>
    <w:rsid w:val="00DB0662"/>
    <w:rsid w:val="00DB0A46"/>
    <w:rsid w:val="00DB22F4"/>
    <w:rsid w:val="00DB2484"/>
    <w:rsid w:val="00DB28A5"/>
    <w:rsid w:val="00DB4663"/>
    <w:rsid w:val="00DB46F1"/>
    <w:rsid w:val="00DB48E0"/>
    <w:rsid w:val="00DB4ECC"/>
    <w:rsid w:val="00DB5A52"/>
    <w:rsid w:val="00DB664E"/>
    <w:rsid w:val="00DB68DF"/>
    <w:rsid w:val="00DB69B7"/>
    <w:rsid w:val="00DC0E11"/>
    <w:rsid w:val="00DC0E4F"/>
    <w:rsid w:val="00DC0F4B"/>
    <w:rsid w:val="00DC13FB"/>
    <w:rsid w:val="00DC1776"/>
    <w:rsid w:val="00DC3824"/>
    <w:rsid w:val="00DC3D8C"/>
    <w:rsid w:val="00DC4B63"/>
    <w:rsid w:val="00DC4C83"/>
    <w:rsid w:val="00DC4EB7"/>
    <w:rsid w:val="00DC575E"/>
    <w:rsid w:val="00DC5EB3"/>
    <w:rsid w:val="00DC5EDC"/>
    <w:rsid w:val="00DC7113"/>
    <w:rsid w:val="00DC776D"/>
    <w:rsid w:val="00DC7E28"/>
    <w:rsid w:val="00DC7F66"/>
    <w:rsid w:val="00DD212D"/>
    <w:rsid w:val="00DD23EF"/>
    <w:rsid w:val="00DD23F2"/>
    <w:rsid w:val="00DD2921"/>
    <w:rsid w:val="00DD2EBF"/>
    <w:rsid w:val="00DD34FB"/>
    <w:rsid w:val="00DD43D4"/>
    <w:rsid w:val="00DD4E82"/>
    <w:rsid w:val="00DD4F67"/>
    <w:rsid w:val="00DD6098"/>
    <w:rsid w:val="00DD6EB2"/>
    <w:rsid w:val="00DE05E9"/>
    <w:rsid w:val="00DE0749"/>
    <w:rsid w:val="00DE0FE7"/>
    <w:rsid w:val="00DE143B"/>
    <w:rsid w:val="00DE152E"/>
    <w:rsid w:val="00DE1B3B"/>
    <w:rsid w:val="00DE20D0"/>
    <w:rsid w:val="00DE26E2"/>
    <w:rsid w:val="00DE2A6C"/>
    <w:rsid w:val="00DE3A4A"/>
    <w:rsid w:val="00DE4770"/>
    <w:rsid w:val="00DE56AC"/>
    <w:rsid w:val="00DE571C"/>
    <w:rsid w:val="00DE59A7"/>
    <w:rsid w:val="00DE5F58"/>
    <w:rsid w:val="00DE6375"/>
    <w:rsid w:val="00DE6A65"/>
    <w:rsid w:val="00DE6D15"/>
    <w:rsid w:val="00DF1BB9"/>
    <w:rsid w:val="00DF3036"/>
    <w:rsid w:val="00DF308A"/>
    <w:rsid w:val="00DF35E4"/>
    <w:rsid w:val="00DF3D7E"/>
    <w:rsid w:val="00DF41F3"/>
    <w:rsid w:val="00DF54D2"/>
    <w:rsid w:val="00DF57EA"/>
    <w:rsid w:val="00DF64BB"/>
    <w:rsid w:val="00DF76FE"/>
    <w:rsid w:val="00DF7A12"/>
    <w:rsid w:val="00E008B9"/>
    <w:rsid w:val="00E00A81"/>
    <w:rsid w:val="00E01047"/>
    <w:rsid w:val="00E012D7"/>
    <w:rsid w:val="00E01C81"/>
    <w:rsid w:val="00E01E15"/>
    <w:rsid w:val="00E03597"/>
    <w:rsid w:val="00E04BBD"/>
    <w:rsid w:val="00E04C6F"/>
    <w:rsid w:val="00E04CA2"/>
    <w:rsid w:val="00E05122"/>
    <w:rsid w:val="00E05300"/>
    <w:rsid w:val="00E06477"/>
    <w:rsid w:val="00E06F4E"/>
    <w:rsid w:val="00E07E53"/>
    <w:rsid w:val="00E10A5E"/>
    <w:rsid w:val="00E10E01"/>
    <w:rsid w:val="00E113C4"/>
    <w:rsid w:val="00E11A2F"/>
    <w:rsid w:val="00E11E42"/>
    <w:rsid w:val="00E12588"/>
    <w:rsid w:val="00E12A37"/>
    <w:rsid w:val="00E15114"/>
    <w:rsid w:val="00E15859"/>
    <w:rsid w:val="00E15D4C"/>
    <w:rsid w:val="00E16122"/>
    <w:rsid w:val="00E163AC"/>
    <w:rsid w:val="00E1690D"/>
    <w:rsid w:val="00E1744D"/>
    <w:rsid w:val="00E17C1D"/>
    <w:rsid w:val="00E219C8"/>
    <w:rsid w:val="00E22EDD"/>
    <w:rsid w:val="00E240D4"/>
    <w:rsid w:val="00E24711"/>
    <w:rsid w:val="00E248ED"/>
    <w:rsid w:val="00E2532A"/>
    <w:rsid w:val="00E25FE1"/>
    <w:rsid w:val="00E26B7A"/>
    <w:rsid w:val="00E30729"/>
    <w:rsid w:val="00E30B0E"/>
    <w:rsid w:val="00E30FBE"/>
    <w:rsid w:val="00E318C3"/>
    <w:rsid w:val="00E321B2"/>
    <w:rsid w:val="00E331EC"/>
    <w:rsid w:val="00E33541"/>
    <w:rsid w:val="00E3407F"/>
    <w:rsid w:val="00E345E2"/>
    <w:rsid w:val="00E35D77"/>
    <w:rsid w:val="00E35E60"/>
    <w:rsid w:val="00E36456"/>
    <w:rsid w:val="00E371D1"/>
    <w:rsid w:val="00E373AF"/>
    <w:rsid w:val="00E37BD8"/>
    <w:rsid w:val="00E41B5C"/>
    <w:rsid w:val="00E42670"/>
    <w:rsid w:val="00E42CC4"/>
    <w:rsid w:val="00E435FD"/>
    <w:rsid w:val="00E436D3"/>
    <w:rsid w:val="00E43BBE"/>
    <w:rsid w:val="00E44025"/>
    <w:rsid w:val="00E448BC"/>
    <w:rsid w:val="00E4514B"/>
    <w:rsid w:val="00E458AE"/>
    <w:rsid w:val="00E45A18"/>
    <w:rsid w:val="00E45DC7"/>
    <w:rsid w:val="00E45E0A"/>
    <w:rsid w:val="00E46DAB"/>
    <w:rsid w:val="00E46F64"/>
    <w:rsid w:val="00E472B3"/>
    <w:rsid w:val="00E47F4B"/>
    <w:rsid w:val="00E501E6"/>
    <w:rsid w:val="00E50A45"/>
    <w:rsid w:val="00E515BD"/>
    <w:rsid w:val="00E5260B"/>
    <w:rsid w:val="00E52B75"/>
    <w:rsid w:val="00E52F97"/>
    <w:rsid w:val="00E53419"/>
    <w:rsid w:val="00E53867"/>
    <w:rsid w:val="00E53ACE"/>
    <w:rsid w:val="00E53EA8"/>
    <w:rsid w:val="00E5404A"/>
    <w:rsid w:val="00E542CB"/>
    <w:rsid w:val="00E54884"/>
    <w:rsid w:val="00E54946"/>
    <w:rsid w:val="00E552F3"/>
    <w:rsid w:val="00E55333"/>
    <w:rsid w:val="00E55446"/>
    <w:rsid w:val="00E56A79"/>
    <w:rsid w:val="00E57DE8"/>
    <w:rsid w:val="00E60872"/>
    <w:rsid w:val="00E62293"/>
    <w:rsid w:val="00E62C5E"/>
    <w:rsid w:val="00E630B4"/>
    <w:rsid w:val="00E635AE"/>
    <w:rsid w:val="00E63C51"/>
    <w:rsid w:val="00E63FFD"/>
    <w:rsid w:val="00E64CBC"/>
    <w:rsid w:val="00E66293"/>
    <w:rsid w:val="00E66674"/>
    <w:rsid w:val="00E66ABB"/>
    <w:rsid w:val="00E66CD3"/>
    <w:rsid w:val="00E670DA"/>
    <w:rsid w:val="00E6721A"/>
    <w:rsid w:val="00E67344"/>
    <w:rsid w:val="00E6747A"/>
    <w:rsid w:val="00E67CEA"/>
    <w:rsid w:val="00E67F01"/>
    <w:rsid w:val="00E70CDF"/>
    <w:rsid w:val="00E70D69"/>
    <w:rsid w:val="00E71AC5"/>
    <w:rsid w:val="00E720A9"/>
    <w:rsid w:val="00E72552"/>
    <w:rsid w:val="00E72570"/>
    <w:rsid w:val="00E72DF3"/>
    <w:rsid w:val="00E730A9"/>
    <w:rsid w:val="00E7390B"/>
    <w:rsid w:val="00E74052"/>
    <w:rsid w:val="00E76835"/>
    <w:rsid w:val="00E76B42"/>
    <w:rsid w:val="00E77538"/>
    <w:rsid w:val="00E80927"/>
    <w:rsid w:val="00E81441"/>
    <w:rsid w:val="00E819B3"/>
    <w:rsid w:val="00E827DB"/>
    <w:rsid w:val="00E82EF4"/>
    <w:rsid w:val="00E83BAB"/>
    <w:rsid w:val="00E83FEF"/>
    <w:rsid w:val="00E8431B"/>
    <w:rsid w:val="00E85BC6"/>
    <w:rsid w:val="00E877E2"/>
    <w:rsid w:val="00E90544"/>
    <w:rsid w:val="00E90574"/>
    <w:rsid w:val="00E90C34"/>
    <w:rsid w:val="00E90F4A"/>
    <w:rsid w:val="00E91570"/>
    <w:rsid w:val="00E91B3C"/>
    <w:rsid w:val="00E91FF0"/>
    <w:rsid w:val="00E92C20"/>
    <w:rsid w:val="00E957D9"/>
    <w:rsid w:val="00E95F47"/>
    <w:rsid w:val="00E96B5D"/>
    <w:rsid w:val="00E975F1"/>
    <w:rsid w:val="00E97D17"/>
    <w:rsid w:val="00E97EEE"/>
    <w:rsid w:val="00EA0788"/>
    <w:rsid w:val="00EA08F8"/>
    <w:rsid w:val="00EA18CF"/>
    <w:rsid w:val="00EA241D"/>
    <w:rsid w:val="00EA2937"/>
    <w:rsid w:val="00EA2BB0"/>
    <w:rsid w:val="00EA3806"/>
    <w:rsid w:val="00EA3EF7"/>
    <w:rsid w:val="00EA4135"/>
    <w:rsid w:val="00EA49B1"/>
    <w:rsid w:val="00EA5C7D"/>
    <w:rsid w:val="00EA6566"/>
    <w:rsid w:val="00EA6FA2"/>
    <w:rsid w:val="00EA7099"/>
    <w:rsid w:val="00EA72C9"/>
    <w:rsid w:val="00EB0D6C"/>
    <w:rsid w:val="00EB10CB"/>
    <w:rsid w:val="00EB1257"/>
    <w:rsid w:val="00EB196D"/>
    <w:rsid w:val="00EB1AA5"/>
    <w:rsid w:val="00EB1D78"/>
    <w:rsid w:val="00EB2CA6"/>
    <w:rsid w:val="00EB3611"/>
    <w:rsid w:val="00EB3BF7"/>
    <w:rsid w:val="00EB419C"/>
    <w:rsid w:val="00EB4310"/>
    <w:rsid w:val="00EB459A"/>
    <w:rsid w:val="00EB575A"/>
    <w:rsid w:val="00EB57FD"/>
    <w:rsid w:val="00EB685D"/>
    <w:rsid w:val="00EC04CA"/>
    <w:rsid w:val="00EC0EB5"/>
    <w:rsid w:val="00EC1E79"/>
    <w:rsid w:val="00EC2915"/>
    <w:rsid w:val="00EC2E4D"/>
    <w:rsid w:val="00EC44CE"/>
    <w:rsid w:val="00EC4EAC"/>
    <w:rsid w:val="00EC542B"/>
    <w:rsid w:val="00EC602F"/>
    <w:rsid w:val="00EC7907"/>
    <w:rsid w:val="00ED0AF1"/>
    <w:rsid w:val="00ED1875"/>
    <w:rsid w:val="00ED1989"/>
    <w:rsid w:val="00ED3625"/>
    <w:rsid w:val="00ED36B4"/>
    <w:rsid w:val="00ED370A"/>
    <w:rsid w:val="00ED71E9"/>
    <w:rsid w:val="00ED7DEA"/>
    <w:rsid w:val="00EE0347"/>
    <w:rsid w:val="00EE08DE"/>
    <w:rsid w:val="00EE10B2"/>
    <w:rsid w:val="00EE1716"/>
    <w:rsid w:val="00EE180F"/>
    <w:rsid w:val="00EE25E6"/>
    <w:rsid w:val="00EE3BEB"/>
    <w:rsid w:val="00EE436C"/>
    <w:rsid w:val="00EE48F3"/>
    <w:rsid w:val="00EE58D4"/>
    <w:rsid w:val="00EE76FA"/>
    <w:rsid w:val="00EF0071"/>
    <w:rsid w:val="00EF0712"/>
    <w:rsid w:val="00EF0791"/>
    <w:rsid w:val="00EF07F7"/>
    <w:rsid w:val="00EF0BF1"/>
    <w:rsid w:val="00EF1F6E"/>
    <w:rsid w:val="00EF1FC8"/>
    <w:rsid w:val="00EF2205"/>
    <w:rsid w:val="00EF38EB"/>
    <w:rsid w:val="00EF3F84"/>
    <w:rsid w:val="00EF5DC1"/>
    <w:rsid w:val="00EF6D0B"/>
    <w:rsid w:val="00EF79A6"/>
    <w:rsid w:val="00F01489"/>
    <w:rsid w:val="00F04C28"/>
    <w:rsid w:val="00F04F3F"/>
    <w:rsid w:val="00F0631F"/>
    <w:rsid w:val="00F06B83"/>
    <w:rsid w:val="00F06DC0"/>
    <w:rsid w:val="00F11BF3"/>
    <w:rsid w:val="00F12973"/>
    <w:rsid w:val="00F14C4D"/>
    <w:rsid w:val="00F14D6C"/>
    <w:rsid w:val="00F15060"/>
    <w:rsid w:val="00F15706"/>
    <w:rsid w:val="00F2059C"/>
    <w:rsid w:val="00F210B5"/>
    <w:rsid w:val="00F21808"/>
    <w:rsid w:val="00F223E6"/>
    <w:rsid w:val="00F22892"/>
    <w:rsid w:val="00F23E6A"/>
    <w:rsid w:val="00F24430"/>
    <w:rsid w:val="00F248A1"/>
    <w:rsid w:val="00F24C09"/>
    <w:rsid w:val="00F255C1"/>
    <w:rsid w:val="00F26950"/>
    <w:rsid w:val="00F26BD4"/>
    <w:rsid w:val="00F26C12"/>
    <w:rsid w:val="00F26E50"/>
    <w:rsid w:val="00F27B15"/>
    <w:rsid w:val="00F30850"/>
    <w:rsid w:val="00F32A14"/>
    <w:rsid w:val="00F32A22"/>
    <w:rsid w:val="00F33369"/>
    <w:rsid w:val="00F33475"/>
    <w:rsid w:val="00F33896"/>
    <w:rsid w:val="00F350AF"/>
    <w:rsid w:val="00F354F2"/>
    <w:rsid w:val="00F3631E"/>
    <w:rsid w:val="00F3634E"/>
    <w:rsid w:val="00F36A7E"/>
    <w:rsid w:val="00F41893"/>
    <w:rsid w:val="00F42704"/>
    <w:rsid w:val="00F4315A"/>
    <w:rsid w:val="00F4459D"/>
    <w:rsid w:val="00F44B7A"/>
    <w:rsid w:val="00F45731"/>
    <w:rsid w:val="00F45C6E"/>
    <w:rsid w:val="00F46042"/>
    <w:rsid w:val="00F468B2"/>
    <w:rsid w:val="00F46FB1"/>
    <w:rsid w:val="00F47B8B"/>
    <w:rsid w:val="00F47CA7"/>
    <w:rsid w:val="00F503C8"/>
    <w:rsid w:val="00F51967"/>
    <w:rsid w:val="00F528D1"/>
    <w:rsid w:val="00F53B22"/>
    <w:rsid w:val="00F53F8F"/>
    <w:rsid w:val="00F54ADA"/>
    <w:rsid w:val="00F55020"/>
    <w:rsid w:val="00F5659A"/>
    <w:rsid w:val="00F56675"/>
    <w:rsid w:val="00F56DC3"/>
    <w:rsid w:val="00F56FAF"/>
    <w:rsid w:val="00F612C2"/>
    <w:rsid w:val="00F6199E"/>
    <w:rsid w:val="00F619D6"/>
    <w:rsid w:val="00F627C3"/>
    <w:rsid w:val="00F62806"/>
    <w:rsid w:val="00F62F52"/>
    <w:rsid w:val="00F63776"/>
    <w:rsid w:val="00F63B09"/>
    <w:rsid w:val="00F63B70"/>
    <w:rsid w:val="00F63E52"/>
    <w:rsid w:val="00F64480"/>
    <w:rsid w:val="00F64604"/>
    <w:rsid w:val="00F6466B"/>
    <w:rsid w:val="00F70077"/>
    <w:rsid w:val="00F70C3A"/>
    <w:rsid w:val="00F71305"/>
    <w:rsid w:val="00F715EE"/>
    <w:rsid w:val="00F71BB7"/>
    <w:rsid w:val="00F71CCD"/>
    <w:rsid w:val="00F7297F"/>
    <w:rsid w:val="00F72F66"/>
    <w:rsid w:val="00F753DB"/>
    <w:rsid w:val="00F75439"/>
    <w:rsid w:val="00F75DCA"/>
    <w:rsid w:val="00F762C4"/>
    <w:rsid w:val="00F7639A"/>
    <w:rsid w:val="00F767DB"/>
    <w:rsid w:val="00F76F2B"/>
    <w:rsid w:val="00F77C0C"/>
    <w:rsid w:val="00F801E7"/>
    <w:rsid w:val="00F80801"/>
    <w:rsid w:val="00F818B1"/>
    <w:rsid w:val="00F821FD"/>
    <w:rsid w:val="00F82D8C"/>
    <w:rsid w:val="00F83649"/>
    <w:rsid w:val="00F837C5"/>
    <w:rsid w:val="00F83B1B"/>
    <w:rsid w:val="00F840DC"/>
    <w:rsid w:val="00F841DE"/>
    <w:rsid w:val="00F84D31"/>
    <w:rsid w:val="00F84E17"/>
    <w:rsid w:val="00F85892"/>
    <w:rsid w:val="00F85AF1"/>
    <w:rsid w:val="00F87D53"/>
    <w:rsid w:val="00F9074F"/>
    <w:rsid w:val="00F91260"/>
    <w:rsid w:val="00F92E7F"/>
    <w:rsid w:val="00F931C5"/>
    <w:rsid w:val="00F94F3E"/>
    <w:rsid w:val="00F953F7"/>
    <w:rsid w:val="00F955F5"/>
    <w:rsid w:val="00F95AAD"/>
    <w:rsid w:val="00F95DFA"/>
    <w:rsid w:val="00F96F40"/>
    <w:rsid w:val="00F972ED"/>
    <w:rsid w:val="00F978CB"/>
    <w:rsid w:val="00FA0DC2"/>
    <w:rsid w:val="00FA1ABE"/>
    <w:rsid w:val="00FA1C47"/>
    <w:rsid w:val="00FA1CFC"/>
    <w:rsid w:val="00FA564D"/>
    <w:rsid w:val="00FA67C5"/>
    <w:rsid w:val="00FA6BFC"/>
    <w:rsid w:val="00FA780D"/>
    <w:rsid w:val="00FB0330"/>
    <w:rsid w:val="00FB0598"/>
    <w:rsid w:val="00FB0AE5"/>
    <w:rsid w:val="00FB15FC"/>
    <w:rsid w:val="00FB296D"/>
    <w:rsid w:val="00FB2E00"/>
    <w:rsid w:val="00FB2EE1"/>
    <w:rsid w:val="00FB35FA"/>
    <w:rsid w:val="00FB3985"/>
    <w:rsid w:val="00FB442C"/>
    <w:rsid w:val="00FB4763"/>
    <w:rsid w:val="00FB6065"/>
    <w:rsid w:val="00FB783B"/>
    <w:rsid w:val="00FB7BA5"/>
    <w:rsid w:val="00FC049C"/>
    <w:rsid w:val="00FC04FD"/>
    <w:rsid w:val="00FC0B8A"/>
    <w:rsid w:val="00FC0EF4"/>
    <w:rsid w:val="00FC1E2D"/>
    <w:rsid w:val="00FC253F"/>
    <w:rsid w:val="00FC2595"/>
    <w:rsid w:val="00FC2938"/>
    <w:rsid w:val="00FC353E"/>
    <w:rsid w:val="00FC36D3"/>
    <w:rsid w:val="00FC38CF"/>
    <w:rsid w:val="00FC3D6D"/>
    <w:rsid w:val="00FC4560"/>
    <w:rsid w:val="00FC4FA0"/>
    <w:rsid w:val="00FC546D"/>
    <w:rsid w:val="00FC6088"/>
    <w:rsid w:val="00FC61AC"/>
    <w:rsid w:val="00FC6601"/>
    <w:rsid w:val="00FC6BE1"/>
    <w:rsid w:val="00FD06F5"/>
    <w:rsid w:val="00FD11A7"/>
    <w:rsid w:val="00FD1380"/>
    <w:rsid w:val="00FD1C4F"/>
    <w:rsid w:val="00FD396E"/>
    <w:rsid w:val="00FD3EC6"/>
    <w:rsid w:val="00FD4033"/>
    <w:rsid w:val="00FD446F"/>
    <w:rsid w:val="00FD4DD2"/>
    <w:rsid w:val="00FD4E21"/>
    <w:rsid w:val="00FD54D0"/>
    <w:rsid w:val="00FD563D"/>
    <w:rsid w:val="00FD56FF"/>
    <w:rsid w:val="00FD5C01"/>
    <w:rsid w:val="00FD5E35"/>
    <w:rsid w:val="00FD657D"/>
    <w:rsid w:val="00FD6BC1"/>
    <w:rsid w:val="00FD6CE4"/>
    <w:rsid w:val="00FD704D"/>
    <w:rsid w:val="00FE0F6E"/>
    <w:rsid w:val="00FE1967"/>
    <w:rsid w:val="00FE2D35"/>
    <w:rsid w:val="00FE2E55"/>
    <w:rsid w:val="00FE34AF"/>
    <w:rsid w:val="00FE379C"/>
    <w:rsid w:val="00FE3A16"/>
    <w:rsid w:val="00FE3C62"/>
    <w:rsid w:val="00FE3FDC"/>
    <w:rsid w:val="00FE4907"/>
    <w:rsid w:val="00FE58A7"/>
    <w:rsid w:val="00FE5BD7"/>
    <w:rsid w:val="00FE5EB7"/>
    <w:rsid w:val="00FE60D5"/>
    <w:rsid w:val="00FE6E68"/>
    <w:rsid w:val="00FE7585"/>
    <w:rsid w:val="00FF0043"/>
    <w:rsid w:val="00FF035F"/>
    <w:rsid w:val="00FF13D0"/>
    <w:rsid w:val="00FF21E1"/>
    <w:rsid w:val="00FF245B"/>
    <w:rsid w:val="00FF29BB"/>
    <w:rsid w:val="00FF379E"/>
    <w:rsid w:val="00FF5C63"/>
    <w:rsid w:val="00FF691B"/>
    <w:rsid w:val="00FF742B"/>
    <w:rsid w:val="010022FA"/>
    <w:rsid w:val="0109EBF8"/>
    <w:rsid w:val="011773A3"/>
    <w:rsid w:val="013B55AA"/>
    <w:rsid w:val="013ECDD0"/>
    <w:rsid w:val="0140874B"/>
    <w:rsid w:val="01608737"/>
    <w:rsid w:val="0162A3E5"/>
    <w:rsid w:val="01E6FDA7"/>
    <w:rsid w:val="02172CD1"/>
    <w:rsid w:val="02577852"/>
    <w:rsid w:val="02623947"/>
    <w:rsid w:val="02A40A87"/>
    <w:rsid w:val="02B1A5BC"/>
    <w:rsid w:val="02B53172"/>
    <w:rsid w:val="02BFFBCD"/>
    <w:rsid w:val="02F6B05F"/>
    <w:rsid w:val="0321CEA4"/>
    <w:rsid w:val="0323DDCD"/>
    <w:rsid w:val="0332CE8B"/>
    <w:rsid w:val="0345EF58"/>
    <w:rsid w:val="0387DD25"/>
    <w:rsid w:val="03926580"/>
    <w:rsid w:val="03A0AA4A"/>
    <w:rsid w:val="03A38F02"/>
    <w:rsid w:val="03A94590"/>
    <w:rsid w:val="03B0A6A3"/>
    <w:rsid w:val="03C9B618"/>
    <w:rsid w:val="03CBE127"/>
    <w:rsid w:val="03F2C547"/>
    <w:rsid w:val="03F97776"/>
    <w:rsid w:val="04172771"/>
    <w:rsid w:val="0435DFF4"/>
    <w:rsid w:val="04431DA6"/>
    <w:rsid w:val="0454A40B"/>
    <w:rsid w:val="0459F377"/>
    <w:rsid w:val="04A1AEEE"/>
    <w:rsid w:val="04B2D5E6"/>
    <w:rsid w:val="0511889E"/>
    <w:rsid w:val="0522DE5A"/>
    <w:rsid w:val="054A597F"/>
    <w:rsid w:val="054FB3A2"/>
    <w:rsid w:val="05941B88"/>
    <w:rsid w:val="05B59643"/>
    <w:rsid w:val="05D1055C"/>
    <w:rsid w:val="05E75FDE"/>
    <w:rsid w:val="0656B09D"/>
    <w:rsid w:val="06832BAD"/>
    <w:rsid w:val="0697FC12"/>
    <w:rsid w:val="06AC1209"/>
    <w:rsid w:val="07068DC6"/>
    <w:rsid w:val="0736DC55"/>
    <w:rsid w:val="074D8936"/>
    <w:rsid w:val="07547E2D"/>
    <w:rsid w:val="0771FD89"/>
    <w:rsid w:val="078DD8B6"/>
    <w:rsid w:val="07B0FBB5"/>
    <w:rsid w:val="07B90C83"/>
    <w:rsid w:val="07E7CBF5"/>
    <w:rsid w:val="081548E7"/>
    <w:rsid w:val="0845E347"/>
    <w:rsid w:val="084E6370"/>
    <w:rsid w:val="08596EAC"/>
    <w:rsid w:val="08657C26"/>
    <w:rsid w:val="086650A1"/>
    <w:rsid w:val="0879A142"/>
    <w:rsid w:val="087A64D3"/>
    <w:rsid w:val="089D8F32"/>
    <w:rsid w:val="08AC55CC"/>
    <w:rsid w:val="08E0BD64"/>
    <w:rsid w:val="08E5034F"/>
    <w:rsid w:val="08EAF927"/>
    <w:rsid w:val="08ED5E0F"/>
    <w:rsid w:val="090480AA"/>
    <w:rsid w:val="090929CD"/>
    <w:rsid w:val="091CE066"/>
    <w:rsid w:val="0930EE59"/>
    <w:rsid w:val="097234A5"/>
    <w:rsid w:val="098FA35C"/>
    <w:rsid w:val="09A778C1"/>
    <w:rsid w:val="09C6E7DA"/>
    <w:rsid w:val="09CB5FEA"/>
    <w:rsid w:val="09E9CF2A"/>
    <w:rsid w:val="0A17B6BD"/>
    <w:rsid w:val="0A1D4B9D"/>
    <w:rsid w:val="0A320891"/>
    <w:rsid w:val="0A43F827"/>
    <w:rsid w:val="0A7A8D42"/>
    <w:rsid w:val="0A9677D0"/>
    <w:rsid w:val="0AC01C51"/>
    <w:rsid w:val="0AD6B281"/>
    <w:rsid w:val="0AF8D7EB"/>
    <w:rsid w:val="0B37B2ED"/>
    <w:rsid w:val="0B4BBBE5"/>
    <w:rsid w:val="0B64027C"/>
    <w:rsid w:val="0BC71784"/>
    <w:rsid w:val="0BE25116"/>
    <w:rsid w:val="0BE4B218"/>
    <w:rsid w:val="0BE6F33F"/>
    <w:rsid w:val="0BFC3F7F"/>
    <w:rsid w:val="0BFF42B1"/>
    <w:rsid w:val="0C0B4A92"/>
    <w:rsid w:val="0C2A0A9D"/>
    <w:rsid w:val="0C4125DF"/>
    <w:rsid w:val="0C68946A"/>
    <w:rsid w:val="0C8C5CE4"/>
    <w:rsid w:val="0CA0B44D"/>
    <w:rsid w:val="0CB813D0"/>
    <w:rsid w:val="0CBF16BB"/>
    <w:rsid w:val="0CC3AF7F"/>
    <w:rsid w:val="0CD87A0B"/>
    <w:rsid w:val="0CE8DE2D"/>
    <w:rsid w:val="0CEDE46B"/>
    <w:rsid w:val="0D13428E"/>
    <w:rsid w:val="0D3205F6"/>
    <w:rsid w:val="0D5308A3"/>
    <w:rsid w:val="0E28A966"/>
    <w:rsid w:val="0E37AB43"/>
    <w:rsid w:val="0E396306"/>
    <w:rsid w:val="0E5318DD"/>
    <w:rsid w:val="0E6AC12D"/>
    <w:rsid w:val="0E9E75D5"/>
    <w:rsid w:val="0ECD1C5D"/>
    <w:rsid w:val="0F3D000A"/>
    <w:rsid w:val="0F4E1297"/>
    <w:rsid w:val="0F70A113"/>
    <w:rsid w:val="0FD5CADF"/>
    <w:rsid w:val="0FED73F6"/>
    <w:rsid w:val="0FFFFB53"/>
    <w:rsid w:val="10311DA6"/>
    <w:rsid w:val="10626A9E"/>
    <w:rsid w:val="106E280A"/>
    <w:rsid w:val="10A3EFEA"/>
    <w:rsid w:val="10D8C372"/>
    <w:rsid w:val="10E61865"/>
    <w:rsid w:val="10F719AD"/>
    <w:rsid w:val="1116E07A"/>
    <w:rsid w:val="11280F64"/>
    <w:rsid w:val="1132FA23"/>
    <w:rsid w:val="114AF6CB"/>
    <w:rsid w:val="117C4A6B"/>
    <w:rsid w:val="119CC2F5"/>
    <w:rsid w:val="11B10D10"/>
    <w:rsid w:val="11B22667"/>
    <w:rsid w:val="11D0B896"/>
    <w:rsid w:val="1245CFE9"/>
    <w:rsid w:val="124A246D"/>
    <w:rsid w:val="1277C91C"/>
    <w:rsid w:val="129D62D4"/>
    <w:rsid w:val="12A7297F"/>
    <w:rsid w:val="12EC8E7A"/>
    <w:rsid w:val="1339178A"/>
    <w:rsid w:val="139F1DC0"/>
    <w:rsid w:val="13DFEB8A"/>
    <w:rsid w:val="13FCC981"/>
    <w:rsid w:val="14232747"/>
    <w:rsid w:val="1488E765"/>
    <w:rsid w:val="14CF7068"/>
    <w:rsid w:val="14E638F2"/>
    <w:rsid w:val="15859CD4"/>
    <w:rsid w:val="15E8B911"/>
    <w:rsid w:val="15E8DD4D"/>
    <w:rsid w:val="1651E819"/>
    <w:rsid w:val="1655FB19"/>
    <w:rsid w:val="1675F6A0"/>
    <w:rsid w:val="167A659E"/>
    <w:rsid w:val="16978A0A"/>
    <w:rsid w:val="16B88B68"/>
    <w:rsid w:val="16F8268B"/>
    <w:rsid w:val="1704537C"/>
    <w:rsid w:val="173C7CBA"/>
    <w:rsid w:val="17857051"/>
    <w:rsid w:val="1787A479"/>
    <w:rsid w:val="179AE0B3"/>
    <w:rsid w:val="17A11916"/>
    <w:rsid w:val="18223DE0"/>
    <w:rsid w:val="18514892"/>
    <w:rsid w:val="1874AE7A"/>
    <w:rsid w:val="18845545"/>
    <w:rsid w:val="1898EB49"/>
    <w:rsid w:val="189CF8A5"/>
    <w:rsid w:val="18A56BAC"/>
    <w:rsid w:val="191CD360"/>
    <w:rsid w:val="192909B2"/>
    <w:rsid w:val="193334BD"/>
    <w:rsid w:val="1934FF01"/>
    <w:rsid w:val="198A4F2E"/>
    <w:rsid w:val="19CFEA8E"/>
    <w:rsid w:val="19D30D00"/>
    <w:rsid w:val="19E474A4"/>
    <w:rsid w:val="19F05A69"/>
    <w:rsid w:val="1A03CB83"/>
    <w:rsid w:val="1A073199"/>
    <w:rsid w:val="1A2A9296"/>
    <w:rsid w:val="1A2DB448"/>
    <w:rsid w:val="1A63753D"/>
    <w:rsid w:val="1A9C275A"/>
    <w:rsid w:val="1ABB8D43"/>
    <w:rsid w:val="1AD38B53"/>
    <w:rsid w:val="1ADC5D6D"/>
    <w:rsid w:val="1ADFC73E"/>
    <w:rsid w:val="1B0D5FCF"/>
    <w:rsid w:val="1B1B8FF4"/>
    <w:rsid w:val="1B246041"/>
    <w:rsid w:val="1B2B0ACA"/>
    <w:rsid w:val="1BCB48FA"/>
    <w:rsid w:val="1BDC8574"/>
    <w:rsid w:val="1C1C762E"/>
    <w:rsid w:val="1C20EA6E"/>
    <w:rsid w:val="1C45F4F8"/>
    <w:rsid w:val="1CB5146A"/>
    <w:rsid w:val="1CDE84C5"/>
    <w:rsid w:val="1D279227"/>
    <w:rsid w:val="1D297498"/>
    <w:rsid w:val="1D35850A"/>
    <w:rsid w:val="1D5DBAB5"/>
    <w:rsid w:val="1D6B43CE"/>
    <w:rsid w:val="1DAB399D"/>
    <w:rsid w:val="1DAE7FA8"/>
    <w:rsid w:val="1DD4280C"/>
    <w:rsid w:val="1DEBFEB1"/>
    <w:rsid w:val="1DF03370"/>
    <w:rsid w:val="1DFD7D24"/>
    <w:rsid w:val="1E3B4C22"/>
    <w:rsid w:val="1E4279CD"/>
    <w:rsid w:val="1E4B9AD9"/>
    <w:rsid w:val="1E8B8D6C"/>
    <w:rsid w:val="1EAEE139"/>
    <w:rsid w:val="1F2BE495"/>
    <w:rsid w:val="1F3149B8"/>
    <w:rsid w:val="1F3BF871"/>
    <w:rsid w:val="1F83523F"/>
    <w:rsid w:val="1FAEF750"/>
    <w:rsid w:val="1FCCF929"/>
    <w:rsid w:val="200407C1"/>
    <w:rsid w:val="2004B17D"/>
    <w:rsid w:val="20077A08"/>
    <w:rsid w:val="200C609F"/>
    <w:rsid w:val="2020A6F9"/>
    <w:rsid w:val="202C4E50"/>
    <w:rsid w:val="2032688B"/>
    <w:rsid w:val="205E2D21"/>
    <w:rsid w:val="207FC975"/>
    <w:rsid w:val="20A76936"/>
    <w:rsid w:val="20E4D5E3"/>
    <w:rsid w:val="20F1DEAC"/>
    <w:rsid w:val="211F82D9"/>
    <w:rsid w:val="21946B75"/>
    <w:rsid w:val="219AB974"/>
    <w:rsid w:val="21B95C77"/>
    <w:rsid w:val="21BA23E8"/>
    <w:rsid w:val="21CEF464"/>
    <w:rsid w:val="21E99E78"/>
    <w:rsid w:val="220245DC"/>
    <w:rsid w:val="220F59FC"/>
    <w:rsid w:val="2255B144"/>
    <w:rsid w:val="225C0BAC"/>
    <w:rsid w:val="2262C8CE"/>
    <w:rsid w:val="22B9A892"/>
    <w:rsid w:val="22F9E987"/>
    <w:rsid w:val="231D8C10"/>
    <w:rsid w:val="23792B4E"/>
    <w:rsid w:val="2385B452"/>
    <w:rsid w:val="238E982C"/>
    <w:rsid w:val="23A9BEBC"/>
    <w:rsid w:val="23C2DA07"/>
    <w:rsid w:val="2491FCC1"/>
    <w:rsid w:val="24992A6C"/>
    <w:rsid w:val="24E3B101"/>
    <w:rsid w:val="251B983E"/>
    <w:rsid w:val="251FBE4B"/>
    <w:rsid w:val="25F4643A"/>
    <w:rsid w:val="260A170A"/>
    <w:rsid w:val="264D6D4B"/>
    <w:rsid w:val="266CC8C7"/>
    <w:rsid w:val="2699344F"/>
    <w:rsid w:val="26B1E6B0"/>
    <w:rsid w:val="26C394CF"/>
    <w:rsid w:val="26F32F48"/>
    <w:rsid w:val="2704F3E6"/>
    <w:rsid w:val="273B96EA"/>
    <w:rsid w:val="27B772C4"/>
    <w:rsid w:val="27FB1544"/>
    <w:rsid w:val="283F84E7"/>
    <w:rsid w:val="285FCE0A"/>
    <w:rsid w:val="2882D68D"/>
    <w:rsid w:val="28961EDD"/>
    <w:rsid w:val="28E994AA"/>
    <w:rsid w:val="28EA7A3C"/>
    <w:rsid w:val="28EB5456"/>
    <w:rsid w:val="2937AB74"/>
    <w:rsid w:val="296EC445"/>
    <w:rsid w:val="298C1B8B"/>
    <w:rsid w:val="299CF1BB"/>
    <w:rsid w:val="29D541B4"/>
    <w:rsid w:val="29FFD33A"/>
    <w:rsid w:val="2A5671B6"/>
    <w:rsid w:val="2AE545EA"/>
    <w:rsid w:val="2AE94F8C"/>
    <w:rsid w:val="2B06C1D4"/>
    <w:rsid w:val="2B0C5475"/>
    <w:rsid w:val="2B47A2A3"/>
    <w:rsid w:val="2B4B214B"/>
    <w:rsid w:val="2B536AAB"/>
    <w:rsid w:val="2B54A830"/>
    <w:rsid w:val="2B57E541"/>
    <w:rsid w:val="2B60B400"/>
    <w:rsid w:val="2B62AE71"/>
    <w:rsid w:val="2B6846B4"/>
    <w:rsid w:val="2B8333E5"/>
    <w:rsid w:val="2B8CE58C"/>
    <w:rsid w:val="2BD7E769"/>
    <w:rsid w:val="2C153B79"/>
    <w:rsid w:val="2C5F977A"/>
    <w:rsid w:val="2C6BD4E5"/>
    <w:rsid w:val="2C757683"/>
    <w:rsid w:val="2C8809B9"/>
    <w:rsid w:val="2CA380B8"/>
    <w:rsid w:val="2CB53CF6"/>
    <w:rsid w:val="2CC3A371"/>
    <w:rsid w:val="2CC826E0"/>
    <w:rsid w:val="2CCF41FF"/>
    <w:rsid w:val="2D14A804"/>
    <w:rsid w:val="2D18FDE1"/>
    <w:rsid w:val="2D2867E7"/>
    <w:rsid w:val="2D3CB8B6"/>
    <w:rsid w:val="2D53279C"/>
    <w:rsid w:val="2D5FEB39"/>
    <w:rsid w:val="2D644D09"/>
    <w:rsid w:val="2D822F91"/>
    <w:rsid w:val="2D82EE47"/>
    <w:rsid w:val="2DC95C64"/>
    <w:rsid w:val="2DD7DC46"/>
    <w:rsid w:val="2DE69ADE"/>
    <w:rsid w:val="2E084FCE"/>
    <w:rsid w:val="2E13653F"/>
    <w:rsid w:val="2E16C4E4"/>
    <w:rsid w:val="2E2FCDFA"/>
    <w:rsid w:val="2E39A950"/>
    <w:rsid w:val="2E3E629C"/>
    <w:rsid w:val="2E7FED77"/>
    <w:rsid w:val="2EB694AA"/>
    <w:rsid w:val="2F2AE600"/>
    <w:rsid w:val="2F3D4073"/>
    <w:rsid w:val="2F5C2BD1"/>
    <w:rsid w:val="2FCB9B6E"/>
    <w:rsid w:val="2FD82A87"/>
    <w:rsid w:val="2FF6DCD0"/>
    <w:rsid w:val="303A6202"/>
    <w:rsid w:val="304CD710"/>
    <w:rsid w:val="305853E6"/>
    <w:rsid w:val="30903510"/>
    <w:rsid w:val="30912152"/>
    <w:rsid w:val="30AD1457"/>
    <w:rsid w:val="30BB6802"/>
    <w:rsid w:val="3133F4DF"/>
    <w:rsid w:val="313D53A8"/>
    <w:rsid w:val="3152E540"/>
    <w:rsid w:val="3175FE5A"/>
    <w:rsid w:val="3197A868"/>
    <w:rsid w:val="319FD093"/>
    <w:rsid w:val="31ABCE33"/>
    <w:rsid w:val="31BE75AE"/>
    <w:rsid w:val="31FA95A7"/>
    <w:rsid w:val="31FECF3F"/>
    <w:rsid w:val="322AE379"/>
    <w:rsid w:val="3240A88C"/>
    <w:rsid w:val="32903808"/>
    <w:rsid w:val="32CAF587"/>
    <w:rsid w:val="32DB54D6"/>
    <w:rsid w:val="32EB45B0"/>
    <w:rsid w:val="3333CB15"/>
    <w:rsid w:val="3396C717"/>
    <w:rsid w:val="3397537B"/>
    <w:rsid w:val="33B75171"/>
    <w:rsid w:val="33C86689"/>
    <w:rsid w:val="33CB337E"/>
    <w:rsid w:val="33CF6DA6"/>
    <w:rsid w:val="33E9D3B6"/>
    <w:rsid w:val="34066D0C"/>
    <w:rsid w:val="34334E2B"/>
    <w:rsid w:val="3434F599"/>
    <w:rsid w:val="349D0CD2"/>
    <w:rsid w:val="34B8E03C"/>
    <w:rsid w:val="34E26273"/>
    <w:rsid w:val="3539A35C"/>
    <w:rsid w:val="35503354"/>
    <w:rsid w:val="355A379D"/>
    <w:rsid w:val="35683475"/>
    <w:rsid w:val="358B8F94"/>
    <w:rsid w:val="35CEA377"/>
    <w:rsid w:val="35F4933C"/>
    <w:rsid w:val="362C217F"/>
    <w:rsid w:val="363DDECE"/>
    <w:rsid w:val="363FA637"/>
    <w:rsid w:val="3647349E"/>
    <w:rsid w:val="36657274"/>
    <w:rsid w:val="3668B0ED"/>
    <w:rsid w:val="36879183"/>
    <w:rsid w:val="369F2D0D"/>
    <w:rsid w:val="36B05A9A"/>
    <w:rsid w:val="36FB76D0"/>
    <w:rsid w:val="37010E98"/>
    <w:rsid w:val="374062A0"/>
    <w:rsid w:val="37958F55"/>
    <w:rsid w:val="37D30D4A"/>
    <w:rsid w:val="37D3EDB9"/>
    <w:rsid w:val="37E7AED3"/>
    <w:rsid w:val="383CC22D"/>
    <w:rsid w:val="38827165"/>
    <w:rsid w:val="388C0809"/>
    <w:rsid w:val="389F380D"/>
    <w:rsid w:val="38CEEF3A"/>
    <w:rsid w:val="38CFA5A2"/>
    <w:rsid w:val="38EBFC6B"/>
    <w:rsid w:val="39385A6C"/>
    <w:rsid w:val="39968B0B"/>
    <w:rsid w:val="39BE9ACD"/>
    <w:rsid w:val="39DFB853"/>
    <w:rsid w:val="3A00EC05"/>
    <w:rsid w:val="3A75B67A"/>
    <w:rsid w:val="3AB820A4"/>
    <w:rsid w:val="3AB82A60"/>
    <w:rsid w:val="3B035A19"/>
    <w:rsid w:val="3B2F121A"/>
    <w:rsid w:val="3B6F32FF"/>
    <w:rsid w:val="3B950CCE"/>
    <w:rsid w:val="3B9B55F8"/>
    <w:rsid w:val="3BC41394"/>
    <w:rsid w:val="3BC5CE0F"/>
    <w:rsid w:val="3BE7D8F4"/>
    <w:rsid w:val="3C11403A"/>
    <w:rsid w:val="3C9AA414"/>
    <w:rsid w:val="3CB438A3"/>
    <w:rsid w:val="3CCE363B"/>
    <w:rsid w:val="3CD43D47"/>
    <w:rsid w:val="3CD6CA6D"/>
    <w:rsid w:val="3CE48B6D"/>
    <w:rsid w:val="3D1AA4AB"/>
    <w:rsid w:val="3D39C731"/>
    <w:rsid w:val="3D3C5174"/>
    <w:rsid w:val="3D42D206"/>
    <w:rsid w:val="3D7D12C1"/>
    <w:rsid w:val="3DCAD15D"/>
    <w:rsid w:val="3DFD974A"/>
    <w:rsid w:val="3DFEC0F4"/>
    <w:rsid w:val="3E1A48C3"/>
    <w:rsid w:val="3E289E23"/>
    <w:rsid w:val="3E3722B6"/>
    <w:rsid w:val="3E46745D"/>
    <w:rsid w:val="3E9EA151"/>
    <w:rsid w:val="3EAF3117"/>
    <w:rsid w:val="3ED1FC69"/>
    <w:rsid w:val="3EEF8AD2"/>
    <w:rsid w:val="3EF4E74E"/>
    <w:rsid w:val="3EFBF547"/>
    <w:rsid w:val="3F2DF385"/>
    <w:rsid w:val="3F8EFD06"/>
    <w:rsid w:val="3FA316DD"/>
    <w:rsid w:val="3FC78724"/>
    <w:rsid w:val="3FD798C1"/>
    <w:rsid w:val="3FE4340D"/>
    <w:rsid w:val="3FE47BBA"/>
    <w:rsid w:val="3FE64607"/>
    <w:rsid w:val="40378279"/>
    <w:rsid w:val="407F352D"/>
    <w:rsid w:val="4096A7F4"/>
    <w:rsid w:val="409DA350"/>
    <w:rsid w:val="40A58343"/>
    <w:rsid w:val="40D68B55"/>
    <w:rsid w:val="412E866C"/>
    <w:rsid w:val="4148F402"/>
    <w:rsid w:val="418FEE28"/>
    <w:rsid w:val="41B1816F"/>
    <w:rsid w:val="4212F9E9"/>
    <w:rsid w:val="42175007"/>
    <w:rsid w:val="42766CEE"/>
    <w:rsid w:val="427F9FFC"/>
    <w:rsid w:val="428D32EE"/>
    <w:rsid w:val="4292F391"/>
    <w:rsid w:val="42B27A74"/>
    <w:rsid w:val="42B63648"/>
    <w:rsid w:val="43186C9E"/>
    <w:rsid w:val="4323AE85"/>
    <w:rsid w:val="4342A169"/>
    <w:rsid w:val="43637695"/>
    <w:rsid w:val="436E27FA"/>
    <w:rsid w:val="4372BD00"/>
    <w:rsid w:val="4386860E"/>
    <w:rsid w:val="439E9600"/>
    <w:rsid w:val="43A30FAC"/>
    <w:rsid w:val="43A6B2B6"/>
    <w:rsid w:val="43D7D251"/>
    <w:rsid w:val="44A5DD0C"/>
    <w:rsid w:val="4557734D"/>
    <w:rsid w:val="45605BF7"/>
    <w:rsid w:val="45C17CB2"/>
    <w:rsid w:val="4665759E"/>
    <w:rsid w:val="4683B934"/>
    <w:rsid w:val="469D24B4"/>
    <w:rsid w:val="46AA22B7"/>
    <w:rsid w:val="46B1F014"/>
    <w:rsid w:val="46D2D9B2"/>
    <w:rsid w:val="46E0812D"/>
    <w:rsid w:val="472E3CEF"/>
    <w:rsid w:val="47608BE8"/>
    <w:rsid w:val="47A56602"/>
    <w:rsid w:val="47EB4073"/>
    <w:rsid w:val="4800C971"/>
    <w:rsid w:val="483468DC"/>
    <w:rsid w:val="4835C708"/>
    <w:rsid w:val="487DC00A"/>
    <w:rsid w:val="488CCC76"/>
    <w:rsid w:val="489AE155"/>
    <w:rsid w:val="48A4AF9C"/>
    <w:rsid w:val="48D3ABD9"/>
    <w:rsid w:val="48EC8F71"/>
    <w:rsid w:val="48F0FE18"/>
    <w:rsid w:val="48FFDAE5"/>
    <w:rsid w:val="49195757"/>
    <w:rsid w:val="49831FBA"/>
    <w:rsid w:val="498AC783"/>
    <w:rsid w:val="49A6F9E9"/>
    <w:rsid w:val="49FC61E5"/>
    <w:rsid w:val="4A32D4F1"/>
    <w:rsid w:val="4A3AC17C"/>
    <w:rsid w:val="4A626B78"/>
    <w:rsid w:val="4A8BDC89"/>
    <w:rsid w:val="4A90D953"/>
    <w:rsid w:val="4AC24FD4"/>
    <w:rsid w:val="4ACE1130"/>
    <w:rsid w:val="4ACFA66D"/>
    <w:rsid w:val="4B0FA3B2"/>
    <w:rsid w:val="4B2405B7"/>
    <w:rsid w:val="4B280C34"/>
    <w:rsid w:val="4B6009E6"/>
    <w:rsid w:val="4B831EA8"/>
    <w:rsid w:val="4B9241E2"/>
    <w:rsid w:val="4BA7CDF3"/>
    <w:rsid w:val="4BAF9A77"/>
    <w:rsid w:val="4BB5DC46"/>
    <w:rsid w:val="4BBD043F"/>
    <w:rsid w:val="4BECBA82"/>
    <w:rsid w:val="4C1DBB7B"/>
    <w:rsid w:val="4C45EAC1"/>
    <w:rsid w:val="4C505338"/>
    <w:rsid w:val="4C5D25BC"/>
    <w:rsid w:val="4CC262FC"/>
    <w:rsid w:val="4CDE9A2F"/>
    <w:rsid w:val="4CF68472"/>
    <w:rsid w:val="4CFCEA1E"/>
    <w:rsid w:val="4D3CADE8"/>
    <w:rsid w:val="4D4D0C6D"/>
    <w:rsid w:val="4D5904FB"/>
    <w:rsid w:val="4D61827F"/>
    <w:rsid w:val="4D67F2DE"/>
    <w:rsid w:val="4D7DB5C7"/>
    <w:rsid w:val="4D8B7EF1"/>
    <w:rsid w:val="4DC99F10"/>
    <w:rsid w:val="4DE537DA"/>
    <w:rsid w:val="4DF4DBC2"/>
    <w:rsid w:val="4DFB0887"/>
    <w:rsid w:val="4E18B41F"/>
    <w:rsid w:val="4E3935C7"/>
    <w:rsid w:val="4E3B20CF"/>
    <w:rsid w:val="4E5805B7"/>
    <w:rsid w:val="4E9EC47D"/>
    <w:rsid w:val="4EB9629A"/>
    <w:rsid w:val="4EBF3B07"/>
    <w:rsid w:val="4EF97A66"/>
    <w:rsid w:val="4F174B1F"/>
    <w:rsid w:val="4F2D9F9A"/>
    <w:rsid w:val="4F6E5CE7"/>
    <w:rsid w:val="4F757408"/>
    <w:rsid w:val="4F8771F3"/>
    <w:rsid w:val="50570BF2"/>
    <w:rsid w:val="506EFF94"/>
    <w:rsid w:val="5072D44B"/>
    <w:rsid w:val="50AFFFF4"/>
    <w:rsid w:val="5123BE5A"/>
    <w:rsid w:val="518F9303"/>
    <w:rsid w:val="519B6813"/>
    <w:rsid w:val="51C30597"/>
    <w:rsid w:val="51DB0A8F"/>
    <w:rsid w:val="520EC16C"/>
    <w:rsid w:val="52709160"/>
    <w:rsid w:val="529FCE65"/>
    <w:rsid w:val="52A2863D"/>
    <w:rsid w:val="52A925CD"/>
    <w:rsid w:val="52EB5119"/>
    <w:rsid w:val="533C4D4A"/>
    <w:rsid w:val="53864E9D"/>
    <w:rsid w:val="5395B6C6"/>
    <w:rsid w:val="53C417B4"/>
    <w:rsid w:val="540DD759"/>
    <w:rsid w:val="543A0204"/>
    <w:rsid w:val="5457F1FC"/>
    <w:rsid w:val="5486EA3B"/>
    <w:rsid w:val="548B01A9"/>
    <w:rsid w:val="5494EC64"/>
    <w:rsid w:val="549BBFA0"/>
    <w:rsid w:val="549F737A"/>
    <w:rsid w:val="54B2F7A9"/>
    <w:rsid w:val="54C09558"/>
    <w:rsid w:val="54D46F7C"/>
    <w:rsid w:val="552F04AF"/>
    <w:rsid w:val="554FC14A"/>
    <w:rsid w:val="5558D1EA"/>
    <w:rsid w:val="5571079B"/>
    <w:rsid w:val="55B8CBEE"/>
    <w:rsid w:val="56183E9D"/>
    <w:rsid w:val="563F38A9"/>
    <w:rsid w:val="566028BF"/>
    <w:rsid w:val="56617024"/>
    <w:rsid w:val="56710D61"/>
    <w:rsid w:val="56783C74"/>
    <w:rsid w:val="56A1C052"/>
    <w:rsid w:val="56A7BFEA"/>
    <w:rsid w:val="56C58F2D"/>
    <w:rsid w:val="56D8AB50"/>
    <w:rsid w:val="56DBAB40"/>
    <w:rsid w:val="56EB91AB"/>
    <w:rsid w:val="56FF5D38"/>
    <w:rsid w:val="5746F5B4"/>
    <w:rsid w:val="57C58EAB"/>
    <w:rsid w:val="57C6848E"/>
    <w:rsid w:val="57D7EA99"/>
    <w:rsid w:val="57EC3FDC"/>
    <w:rsid w:val="57FD2D66"/>
    <w:rsid w:val="58498CF2"/>
    <w:rsid w:val="5860576F"/>
    <w:rsid w:val="58842096"/>
    <w:rsid w:val="588DDEC0"/>
    <w:rsid w:val="589B0399"/>
    <w:rsid w:val="58AB370E"/>
    <w:rsid w:val="58D54431"/>
    <w:rsid w:val="5914A72C"/>
    <w:rsid w:val="59474787"/>
    <w:rsid w:val="598AFAA1"/>
    <w:rsid w:val="5999FD85"/>
    <w:rsid w:val="59A4E4E5"/>
    <w:rsid w:val="59B28ACB"/>
    <w:rsid w:val="59E77EAF"/>
    <w:rsid w:val="5A0EA8B5"/>
    <w:rsid w:val="5A3192D0"/>
    <w:rsid w:val="5A37A3A1"/>
    <w:rsid w:val="5A9F80EB"/>
    <w:rsid w:val="5AFC930E"/>
    <w:rsid w:val="5B072C12"/>
    <w:rsid w:val="5B15E6F6"/>
    <w:rsid w:val="5B482227"/>
    <w:rsid w:val="5B9A4C85"/>
    <w:rsid w:val="5BB4B822"/>
    <w:rsid w:val="5BC23C35"/>
    <w:rsid w:val="5BDD1783"/>
    <w:rsid w:val="5BF1ADD5"/>
    <w:rsid w:val="5C13BEDC"/>
    <w:rsid w:val="5C26B542"/>
    <w:rsid w:val="5C3CBED3"/>
    <w:rsid w:val="5C7A349C"/>
    <w:rsid w:val="5CE66531"/>
    <w:rsid w:val="5D0456AB"/>
    <w:rsid w:val="5D0C3DF0"/>
    <w:rsid w:val="5D12F4D9"/>
    <w:rsid w:val="5D1F5269"/>
    <w:rsid w:val="5D397FF1"/>
    <w:rsid w:val="5D4FDD15"/>
    <w:rsid w:val="5D950956"/>
    <w:rsid w:val="5DDC439E"/>
    <w:rsid w:val="5DE8F58B"/>
    <w:rsid w:val="5E254E59"/>
    <w:rsid w:val="5E3FE3E3"/>
    <w:rsid w:val="5E93034C"/>
    <w:rsid w:val="5EA25611"/>
    <w:rsid w:val="5EB4FDBB"/>
    <w:rsid w:val="5F1A245A"/>
    <w:rsid w:val="5F419005"/>
    <w:rsid w:val="5F4603D2"/>
    <w:rsid w:val="5FBA6AF2"/>
    <w:rsid w:val="5FE235C4"/>
    <w:rsid w:val="5FF8F9B7"/>
    <w:rsid w:val="601A4C62"/>
    <w:rsid w:val="60204C42"/>
    <w:rsid w:val="608D10E4"/>
    <w:rsid w:val="60E87E62"/>
    <w:rsid w:val="610FD468"/>
    <w:rsid w:val="612F1B4B"/>
    <w:rsid w:val="6138C2B0"/>
    <w:rsid w:val="61B0213C"/>
    <w:rsid w:val="61B1A752"/>
    <w:rsid w:val="61BE98C7"/>
    <w:rsid w:val="61DF1B81"/>
    <w:rsid w:val="61F7E097"/>
    <w:rsid w:val="6203C6D6"/>
    <w:rsid w:val="62180FE5"/>
    <w:rsid w:val="622F60BD"/>
    <w:rsid w:val="626C1C87"/>
    <w:rsid w:val="627E705E"/>
    <w:rsid w:val="628461E3"/>
    <w:rsid w:val="62B0A22A"/>
    <w:rsid w:val="62EE0465"/>
    <w:rsid w:val="632E3348"/>
    <w:rsid w:val="634FECEF"/>
    <w:rsid w:val="6352F40A"/>
    <w:rsid w:val="63622649"/>
    <w:rsid w:val="63854542"/>
    <w:rsid w:val="639F355D"/>
    <w:rsid w:val="63A8BEEB"/>
    <w:rsid w:val="63CD3C20"/>
    <w:rsid w:val="63D200D1"/>
    <w:rsid w:val="641395CA"/>
    <w:rsid w:val="64143124"/>
    <w:rsid w:val="64166587"/>
    <w:rsid w:val="6440BF70"/>
    <w:rsid w:val="6464FEE6"/>
    <w:rsid w:val="646C9216"/>
    <w:rsid w:val="646C99D8"/>
    <w:rsid w:val="64C81998"/>
    <w:rsid w:val="64C887F1"/>
    <w:rsid w:val="64EA7F74"/>
    <w:rsid w:val="64F13FE7"/>
    <w:rsid w:val="650772EC"/>
    <w:rsid w:val="65092A83"/>
    <w:rsid w:val="654644EE"/>
    <w:rsid w:val="654EF16C"/>
    <w:rsid w:val="6586897F"/>
    <w:rsid w:val="65BFE0C4"/>
    <w:rsid w:val="65E17405"/>
    <w:rsid w:val="6625A606"/>
    <w:rsid w:val="6651B154"/>
    <w:rsid w:val="665A0AA6"/>
    <w:rsid w:val="6696820D"/>
    <w:rsid w:val="66B80B49"/>
    <w:rsid w:val="66C54B3B"/>
    <w:rsid w:val="66D87061"/>
    <w:rsid w:val="66DF0B34"/>
    <w:rsid w:val="66FDC7BF"/>
    <w:rsid w:val="67468569"/>
    <w:rsid w:val="67481B90"/>
    <w:rsid w:val="675D7579"/>
    <w:rsid w:val="676E7E7A"/>
    <w:rsid w:val="6790EC31"/>
    <w:rsid w:val="67A278F3"/>
    <w:rsid w:val="67BDEB47"/>
    <w:rsid w:val="67F5E347"/>
    <w:rsid w:val="680042D6"/>
    <w:rsid w:val="6867BB12"/>
    <w:rsid w:val="688A44EE"/>
    <w:rsid w:val="68AE5551"/>
    <w:rsid w:val="68F181B2"/>
    <w:rsid w:val="68F8045B"/>
    <w:rsid w:val="69003617"/>
    <w:rsid w:val="69091FEB"/>
    <w:rsid w:val="691905FC"/>
    <w:rsid w:val="69C5B642"/>
    <w:rsid w:val="69E2B410"/>
    <w:rsid w:val="69E7DF9F"/>
    <w:rsid w:val="6A270754"/>
    <w:rsid w:val="6A4B4E02"/>
    <w:rsid w:val="6AB4E7AB"/>
    <w:rsid w:val="6AB57793"/>
    <w:rsid w:val="6AC19EBA"/>
    <w:rsid w:val="6AD544D9"/>
    <w:rsid w:val="6AFA4BDC"/>
    <w:rsid w:val="6B200475"/>
    <w:rsid w:val="6B3D3FE0"/>
    <w:rsid w:val="6B416F59"/>
    <w:rsid w:val="6B7DE51B"/>
    <w:rsid w:val="6BAFFDE1"/>
    <w:rsid w:val="6BB5ADD9"/>
    <w:rsid w:val="6BECECC7"/>
    <w:rsid w:val="6BF6C5A3"/>
    <w:rsid w:val="6C0174B5"/>
    <w:rsid w:val="6C39AF38"/>
    <w:rsid w:val="6C4A7641"/>
    <w:rsid w:val="6C54C8A3"/>
    <w:rsid w:val="6C70D5B9"/>
    <w:rsid w:val="6C8019AE"/>
    <w:rsid w:val="6C888D02"/>
    <w:rsid w:val="6C98CE32"/>
    <w:rsid w:val="6CCB3FF5"/>
    <w:rsid w:val="6CFC3E3F"/>
    <w:rsid w:val="6D664FA4"/>
    <w:rsid w:val="6D7B2E76"/>
    <w:rsid w:val="6D7D3049"/>
    <w:rsid w:val="6D84EAF8"/>
    <w:rsid w:val="6DAFD162"/>
    <w:rsid w:val="6DDD23BC"/>
    <w:rsid w:val="6DE93067"/>
    <w:rsid w:val="6DECA4A3"/>
    <w:rsid w:val="6DFD9A09"/>
    <w:rsid w:val="6DFE5EA6"/>
    <w:rsid w:val="6E0FE7B5"/>
    <w:rsid w:val="6E391E69"/>
    <w:rsid w:val="6E480FF3"/>
    <w:rsid w:val="6E6A1559"/>
    <w:rsid w:val="6EABD8E5"/>
    <w:rsid w:val="6F11A79B"/>
    <w:rsid w:val="6FA285E5"/>
    <w:rsid w:val="6FC274B9"/>
    <w:rsid w:val="7024DB93"/>
    <w:rsid w:val="705C7D22"/>
    <w:rsid w:val="70687F0E"/>
    <w:rsid w:val="70B66DB8"/>
    <w:rsid w:val="70C4AAFD"/>
    <w:rsid w:val="70E427D5"/>
    <w:rsid w:val="710AA366"/>
    <w:rsid w:val="71259686"/>
    <w:rsid w:val="71396B11"/>
    <w:rsid w:val="7174FC8B"/>
    <w:rsid w:val="71BB22F9"/>
    <w:rsid w:val="71E5F76D"/>
    <w:rsid w:val="724BDD83"/>
    <w:rsid w:val="7263835E"/>
    <w:rsid w:val="727770B7"/>
    <w:rsid w:val="727DA685"/>
    <w:rsid w:val="72CA7809"/>
    <w:rsid w:val="73007D13"/>
    <w:rsid w:val="7352B175"/>
    <w:rsid w:val="736AA231"/>
    <w:rsid w:val="7377802F"/>
    <w:rsid w:val="73A2855D"/>
    <w:rsid w:val="73A45C9C"/>
    <w:rsid w:val="73D9D3B3"/>
    <w:rsid w:val="73ED5AC4"/>
    <w:rsid w:val="740B0E36"/>
    <w:rsid w:val="7414E5B2"/>
    <w:rsid w:val="743968CB"/>
    <w:rsid w:val="7450528F"/>
    <w:rsid w:val="74A0A2C6"/>
    <w:rsid w:val="74C9CEE4"/>
    <w:rsid w:val="74D4EA3A"/>
    <w:rsid w:val="74D9C130"/>
    <w:rsid w:val="74E4A967"/>
    <w:rsid w:val="74F74DE9"/>
    <w:rsid w:val="752F4AE3"/>
    <w:rsid w:val="759A8022"/>
    <w:rsid w:val="759F3B80"/>
    <w:rsid w:val="75D1A8C1"/>
    <w:rsid w:val="75DCEE32"/>
    <w:rsid w:val="75F839E5"/>
    <w:rsid w:val="7619E6C5"/>
    <w:rsid w:val="763B6891"/>
    <w:rsid w:val="765EAED9"/>
    <w:rsid w:val="765F270A"/>
    <w:rsid w:val="7667353D"/>
    <w:rsid w:val="766A4933"/>
    <w:rsid w:val="768258B9"/>
    <w:rsid w:val="76941D17"/>
    <w:rsid w:val="76C86754"/>
    <w:rsid w:val="774D00A1"/>
    <w:rsid w:val="77797B01"/>
    <w:rsid w:val="777F6F4E"/>
    <w:rsid w:val="77B0C433"/>
    <w:rsid w:val="77BA035A"/>
    <w:rsid w:val="77ED10C8"/>
    <w:rsid w:val="77F9E7C2"/>
    <w:rsid w:val="780EDDA8"/>
    <w:rsid w:val="782FC479"/>
    <w:rsid w:val="784DC4C4"/>
    <w:rsid w:val="785FFF9B"/>
    <w:rsid w:val="7887B00A"/>
    <w:rsid w:val="78A74F0A"/>
    <w:rsid w:val="78CA6026"/>
    <w:rsid w:val="79540DB5"/>
    <w:rsid w:val="79786DD4"/>
    <w:rsid w:val="797E562E"/>
    <w:rsid w:val="79BE2327"/>
    <w:rsid w:val="79C2F56B"/>
    <w:rsid w:val="79D32EAB"/>
    <w:rsid w:val="79DA5CFA"/>
    <w:rsid w:val="79F5661E"/>
    <w:rsid w:val="7A10CF64"/>
    <w:rsid w:val="7A3FCA91"/>
    <w:rsid w:val="7A54FA96"/>
    <w:rsid w:val="7A6CF31F"/>
    <w:rsid w:val="7A90FF04"/>
    <w:rsid w:val="7A92AD26"/>
    <w:rsid w:val="7AE5A3EF"/>
    <w:rsid w:val="7AFF8DBA"/>
    <w:rsid w:val="7B134C69"/>
    <w:rsid w:val="7B3F01BA"/>
    <w:rsid w:val="7B4DF838"/>
    <w:rsid w:val="7B773318"/>
    <w:rsid w:val="7BD33CFE"/>
    <w:rsid w:val="7BDF33B0"/>
    <w:rsid w:val="7C02078A"/>
    <w:rsid w:val="7C1296DD"/>
    <w:rsid w:val="7C212695"/>
    <w:rsid w:val="7C25E33D"/>
    <w:rsid w:val="7C2A566D"/>
    <w:rsid w:val="7C2B5B21"/>
    <w:rsid w:val="7C887580"/>
    <w:rsid w:val="7CBC44E4"/>
    <w:rsid w:val="7D074779"/>
    <w:rsid w:val="7D281BBB"/>
    <w:rsid w:val="7D34696E"/>
    <w:rsid w:val="7D53C586"/>
    <w:rsid w:val="7D57B486"/>
    <w:rsid w:val="7DB0A659"/>
    <w:rsid w:val="7DC79C07"/>
    <w:rsid w:val="7DDA760B"/>
    <w:rsid w:val="7DEDEE26"/>
    <w:rsid w:val="7E237B98"/>
    <w:rsid w:val="7E5AB0F6"/>
    <w:rsid w:val="7EAF30FC"/>
    <w:rsid w:val="7EE5DF87"/>
    <w:rsid w:val="7EEBFD03"/>
    <w:rsid w:val="7F190545"/>
    <w:rsid w:val="7F650B95"/>
    <w:rsid w:val="7FB322DC"/>
    <w:rsid w:val="7FFF411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D137C"/>
  <w15:chartTrackingRefBased/>
  <w15:docId w15:val="{1B1282C4-A018-4259-AE79-A6890FB0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712"/>
    <w:pPr>
      <w:spacing w:before="120" w:after="120"/>
    </w:pPr>
    <w:rPr>
      <w:rFonts w:ascii="Arial" w:hAnsi="Arial"/>
    </w:rPr>
  </w:style>
  <w:style w:type="paragraph" w:styleId="Heading1">
    <w:name w:val="heading 1"/>
    <w:next w:val="Normal"/>
    <w:link w:val="Heading1Char"/>
    <w:qFormat/>
    <w:rsid w:val="0036611B"/>
    <w:pPr>
      <w:keepNext/>
      <w:spacing w:before="240" w:after="60" w:line="240" w:lineRule="auto"/>
      <w:outlineLvl w:val="0"/>
    </w:pPr>
    <w:rPr>
      <w:rFonts w:ascii="Arial" w:eastAsia="Times New Roman" w:hAnsi="Arial" w:cs="Arial"/>
      <w:b/>
      <w:bCs/>
      <w:color w:val="3F4A75"/>
      <w:kern w:val="28"/>
      <w:sz w:val="44"/>
      <w:szCs w:val="36"/>
    </w:rPr>
  </w:style>
  <w:style w:type="paragraph" w:styleId="Heading2">
    <w:name w:val="heading 2"/>
    <w:next w:val="Normal"/>
    <w:link w:val="Heading2Char"/>
    <w:uiPriority w:val="9"/>
    <w:unhideWhenUsed/>
    <w:qFormat/>
    <w:rsid w:val="00167E98"/>
    <w:pPr>
      <w:keepNext/>
      <w:keepLines/>
      <w:spacing w:before="240" w:after="120"/>
      <w:outlineLvl w:val="1"/>
    </w:pPr>
    <w:rPr>
      <w:rFonts w:asciiTheme="minorHAnsi" w:eastAsiaTheme="majorEastAsia" w:hAnsiTheme="minorHAnsi" w:cstheme="majorBidi"/>
      <w:color w:val="2F5496" w:themeColor="accent1" w:themeShade="BF"/>
      <w:sz w:val="3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qFormat/>
    <w:rsid w:val="0036611B"/>
    <w:pPr>
      <w:spacing w:before="2160" w:after="120" w:line="240" w:lineRule="auto"/>
      <w:contextualSpacing/>
    </w:pPr>
    <w:rPr>
      <w:rFonts w:ascii="Arial" w:eastAsia="Times New Roman" w:hAnsi="Arial"/>
      <w:b/>
      <w:color w:val="3F4A75"/>
      <w:kern w:val="28"/>
      <w:sz w:val="48"/>
      <w:szCs w:val="52"/>
    </w:rPr>
  </w:style>
  <w:style w:type="character" w:customStyle="1" w:styleId="TitleChar">
    <w:name w:val="Title Char"/>
    <w:basedOn w:val="DefaultParagraphFont"/>
    <w:link w:val="Title"/>
    <w:rsid w:val="0036611B"/>
    <w:rPr>
      <w:rFonts w:ascii="Arial" w:eastAsia="Times New Roman" w:hAnsi="Arial"/>
      <w:b/>
      <w:color w:val="3F4A75"/>
      <w:kern w:val="28"/>
      <w:sz w:val="48"/>
      <w:szCs w:val="52"/>
    </w:rPr>
  </w:style>
  <w:style w:type="paragraph" w:styleId="Header">
    <w:name w:val="header"/>
    <w:basedOn w:val="Normal"/>
    <w:link w:val="HeaderChar"/>
    <w:unhideWhenUsed/>
    <w:qFormat/>
    <w:rsid w:val="0036611B"/>
    <w:pPr>
      <w:tabs>
        <w:tab w:val="center" w:pos="4513"/>
        <w:tab w:val="right" w:pos="9026"/>
      </w:tabs>
      <w:spacing w:after="0" w:line="240" w:lineRule="auto"/>
    </w:pPr>
  </w:style>
  <w:style w:type="character" w:customStyle="1" w:styleId="HeaderChar">
    <w:name w:val="Header Char"/>
    <w:basedOn w:val="DefaultParagraphFont"/>
    <w:link w:val="Header"/>
    <w:rsid w:val="0036611B"/>
  </w:style>
  <w:style w:type="paragraph" w:styleId="Footer">
    <w:name w:val="footer"/>
    <w:basedOn w:val="Normal"/>
    <w:link w:val="FooterChar"/>
    <w:uiPriority w:val="99"/>
    <w:unhideWhenUsed/>
    <w:qFormat/>
    <w:rsid w:val="00366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11B"/>
  </w:style>
  <w:style w:type="character" w:customStyle="1" w:styleId="Heading1Char">
    <w:name w:val="Heading 1 Char"/>
    <w:basedOn w:val="DefaultParagraphFont"/>
    <w:link w:val="Heading1"/>
    <w:rsid w:val="0036611B"/>
    <w:rPr>
      <w:rFonts w:ascii="Arial" w:eastAsia="Times New Roman" w:hAnsi="Arial" w:cs="Arial"/>
      <w:b/>
      <w:bCs/>
      <w:color w:val="3F4A75"/>
      <w:kern w:val="28"/>
      <w:sz w:val="44"/>
      <w:szCs w:val="3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36611B"/>
    <w:pPr>
      <w:spacing w:line="276" w:lineRule="auto"/>
      <w:ind w:left="720"/>
      <w:contextualSpacing/>
    </w:pPr>
    <w:rPr>
      <w:rFonts w:eastAsia="Times New Roman"/>
      <w:color w:val="000000"/>
      <w:sz w:val="22"/>
    </w:rPr>
  </w:style>
  <w:style w:type="character" w:styleId="Hyperlink">
    <w:name w:val="Hyperlink"/>
    <w:uiPriority w:val="99"/>
    <w:qFormat/>
    <w:rsid w:val="0036611B"/>
    <w:rPr>
      <w:color w:val="0000FF"/>
      <w:u w:val="single"/>
    </w:rPr>
  </w:style>
  <w:style w:type="character" w:styleId="CommentReference">
    <w:name w:val="annotation reference"/>
    <w:basedOn w:val="DefaultParagraphFont"/>
    <w:semiHidden/>
    <w:unhideWhenUsed/>
    <w:rsid w:val="0036611B"/>
    <w:rPr>
      <w:sz w:val="16"/>
      <w:szCs w:val="16"/>
    </w:rPr>
  </w:style>
  <w:style w:type="paragraph" w:customStyle="1" w:styleId="Tablelistbullet">
    <w:name w:val="Table list bullet"/>
    <w:basedOn w:val="ListParagraph"/>
    <w:link w:val="TablelistbulletChar"/>
    <w:qFormat/>
    <w:rsid w:val="00213760"/>
    <w:pPr>
      <w:numPr>
        <w:numId w:val="4"/>
      </w:numPr>
      <w:spacing w:before="40" w:after="40" w:line="240" w:lineRule="auto"/>
      <w:ind w:left="357" w:hanging="357"/>
      <w:contextualSpacing w:val="0"/>
    </w:pPr>
    <w:rPr>
      <w:szCs w:val="21"/>
    </w:rPr>
  </w:style>
  <w:style w:type="character" w:customStyle="1" w:styleId="TablelistbulletChar">
    <w:name w:val="Table list bullet Char"/>
    <w:basedOn w:val="ListParagraphChar"/>
    <w:link w:val="Tablelistbullet"/>
    <w:rsid w:val="00213760"/>
    <w:rPr>
      <w:rFonts w:ascii="Arial" w:eastAsia="Times New Roman" w:hAnsi="Arial"/>
      <w:color w:val="000000"/>
      <w:sz w:val="22"/>
      <w:szCs w:val="21"/>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36611B"/>
    <w:rPr>
      <w:rFonts w:ascii="Arial" w:eastAsia="Times New Roman" w:hAnsi="Arial"/>
      <w:color w:val="000000"/>
      <w:sz w:val="22"/>
    </w:rPr>
  </w:style>
  <w:style w:type="paragraph" w:styleId="NoSpacing">
    <w:name w:val="No Spacing"/>
    <w:uiPriority w:val="1"/>
    <w:qFormat/>
    <w:rsid w:val="0036611B"/>
    <w:pPr>
      <w:spacing w:after="0" w:line="240" w:lineRule="auto"/>
    </w:pPr>
    <w:rPr>
      <w:rFonts w:ascii="Arial" w:eastAsia="Times New Roman" w:hAnsi="Arial"/>
      <w:color w:val="000000"/>
      <w:sz w:val="22"/>
    </w:rPr>
  </w:style>
  <w:style w:type="paragraph" w:styleId="TOCHeading">
    <w:name w:val="TOC Heading"/>
    <w:basedOn w:val="Heading1"/>
    <w:next w:val="Normal"/>
    <w:uiPriority w:val="39"/>
    <w:unhideWhenUsed/>
    <w:qFormat/>
    <w:rsid w:val="0036611B"/>
    <w:pPr>
      <w:keepLines/>
      <w:spacing w:after="0" w:line="259" w:lineRule="auto"/>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styleId="TOC1">
    <w:name w:val="toc 1"/>
    <w:basedOn w:val="Normal"/>
    <w:next w:val="Normal"/>
    <w:autoRedefine/>
    <w:uiPriority w:val="39"/>
    <w:unhideWhenUsed/>
    <w:rsid w:val="00BF218A"/>
    <w:pPr>
      <w:tabs>
        <w:tab w:val="right" w:leader="dot" w:pos="9288"/>
      </w:tabs>
      <w:spacing w:after="100"/>
    </w:pPr>
  </w:style>
  <w:style w:type="paragraph" w:styleId="FootnoteText">
    <w:name w:val="footnote text"/>
    <w:link w:val="FootnoteTextChar"/>
    <w:rsid w:val="0036611B"/>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rsid w:val="0036611B"/>
    <w:rPr>
      <w:rFonts w:ascii="Arial" w:eastAsia="Times New Roman" w:hAnsi="Arial"/>
      <w:sz w:val="20"/>
      <w:szCs w:val="20"/>
    </w:rPr>
  </w:style>
  <w:style w:type="paragraph" w:styleId="ListContinue">
    <w:name w:val="List Continue"/>
    <w:uiPriority w:val="99"/>
    <w:unhideWhenUsed/>
    <w:rsid w:val="001F2B0A"/>
    <w:pPr>
      <w:spacing w:after="120"/>
      <w:ind w:left="709" w:hanging="709"/>
    </w:pPr>
    <w:rPr>
      <w:rFonts w:ascii="Arial" w:hAnsi="Arial" w:cs="Arial"/>
      <w:b/>
    </w:rPr>
  </w:style>
  <w:style w:type="character" w:styleId="FootnoteReference">
    <w:name w:val="footnote reference"/>
    <w:basedOn w:val="DefaultParagraphFont"/>
    <w:semiHidden/>
    <w:unhideWhenUsed/>
    <w:rsid w:val="0036611B"/>
    <w:rPr>
      <w:vertAlign w:val="superscript"/>
    </w:rPr>
  </w:style>
  <w:style w:type="paragraph" w:styleId="Subtitle">
    <w:name w:val="Subtitle"/>
    <w:next w:val="Normal"/>
    <w:link w:val="SubtitleChar"/>
    <w:qFormat/>
    <w:rsid w:val="0036611B"/>
    <w:pPr>
      <w:numPr>
        <w:ilvl w:val="1"/>
      </w:numPr>
      <w:spacing w:before="120" w:after="60" w:line="240" w:lineRule="auto"/>
    </w:pPr>
    <w:rPr>
      <w:rFonts w:ascii="Arial" w:eastAsia="Times New Roman" w:hAnsi="Arial"/>
      <w:iCs/>
      <w:color w:val="3F4A75"/>
      <w:spacing w:val="15"/>
      <w:sz w:val="40"/>
    </w:rPr>
  </w:style>
  <w:style w:type="character" w:customStyle="1" w:styleId="SubtitleChar">
    <w:name w:val="Subtitle Char"/>
    <w:basedOn w:val="DefaultParagraphFont"/>
    <w:link w:val="Subtitle"/>
    <w:rsid w:val="0036611B"/>
    <w:rPr>
      <w:rFonts w:ascii="Arial" w:eastAsia="Times New Roman" w:hAnsi="Arial"/>
      <w:iCs/>
      <w:color w:val="3F4A75"/>
      <w:spacing w:val="15"/>
      <w:sz w:val="40"/>
    </w:rPr>
  </w:style>
  <w:style w:type="table" w:styleId="GridTable1Light-Accent5">
    <w:name w:val="Grid Table 1 Light Accent 5"/>
    <w:basedOn w:val="TableNormal"/>
    <w:uiPriority w:val="46"/>
    <w:rsid w:val="00EF0712"/>
    <w:pPr>
      <w:spacing w:after="0" w:line="240" w:lineRule="auto"/>
    </w:pPr>
    <w:rPr>
      <w:rFonts w:ascii="Arial" w:hAnsi="Arial"/>
    </w:rPr>
    <w:tblPr>
      <w:tblStyleRowBandSize w:val="1"/>
      <w:tblStyleColBandSize w:val="1"/>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Pr>
    <w:tblStylePr w:type="firstRow">
      <w:rPr>
        <w:rFonts w:ascii="Arial" w:hAnsi="Arial"/>
        <w:b/>
        <w:bCs/>
        <w:color w:val="FFFFFF" w:themeColor="background1"/>
        <w:sz w:val="24"/>
      </w:rPr>
      <w:tblPr/>
      <w:tcPr>
        <w:tcBorders>
          <w:top w:val="single" w:sz="4" w:space="0" w:color="009999"/>
          <w:left w:val="single" w:sz="4" w:space="0" w:color="009999"/>
          <w:bottom w:val="single" w:sz="4" w:space="0" w:color="009999"/>
          <w:right w:val="single" w:sz="4" w:space="0" w:color="009999"/>
          <w:insideH w:val="single" w:sz="4" w:space="0" w:color="009999"/>
          <w:insideV w:val="single" w:sz="4" w:space="0" w:color="009999"/>
        </w:tcBorders>
        <w:shd w:val="clear" w:color="auto" w:fill="009999"/>
      </w:tcPr>
    </w:tblStylePr>
    <w:tblStylePr w:type="lastRow">
      <w:rPr>
        <w:b/>
        <w:bCs/>
      </w:rPr>
      <w:tblPr/>
      <w:tcPr>
        <w:tcBorders>
          <w:top w:val="double" w:sz="2" w:space="0" w:color="9CC2E5" w:themeColor="accent5" w:themeTint="99"/>
        </w:tcBorders>
      </w:tcPr>
    </w:tblStylePr>
    <w:tblStylePr w:type="firstCol">
      <w:rPr>
        <w:rFonts w:ascii="Arial" w:hAnsi="Arial"/>
        <w:b/>
        <w:bCs/>
        <w:color w:val="1F3864" w:themeColor="accent1" w:themeShade="80"/>
        <w:sz w:val="24"/>
      </w:rPr>
    </w:tblStylePr>
    <w:tblStylePr w:type="lastCol">
      <w:rPr>
        <w:b/>
        <w:bCs/>
      </w:rPr>
    </w:tblStylePr>
  </w:style>
  <w:style w:type="paragraph" w:styleId="ListBullet3">
    <w:name w:val="List Bullet 3"/>
    <w:basedOn w:val="ListParagraph"/>
    <w:uiPriority w:val="99"/>
    <w:unhideWhenUsed/>
    <w:rsid w:val="0004064B"/>
    <w:pPr>
      <w:numPr>
        <w:numId w:val="1"/>
      </w:numPr>
      <w:spacing w:before="0"/>
      <w:ind w:hanging="357"/>
      <w:contextualSpacing w:val="0"/>
    </w:pPr>
    <w:rPr>
      <w:sz w:val="24"/>
    </w:rPr>
  </w:style>
  <w:style w:type="paragraph" w:styleId="PlainText">
    <w:name w:val="Plain Text"/>
    <w:basedOn w:val="Normal"/>
    <w:link w:val="PlainTextChar"/>
    <w:uiPriority w:val="99"/>
    <w:unhideWhenUsed/>
    <w:rsid w:val="0036611B"/>
    <w:pPr>
      <w:spacing w:after="0" w:line="240" w:lineRule="auto"/>
    </w:pPr>
    <w:rPr>
      <w:rFonts w:ascii="Calibri" w:hAnsi="Calibri" w:cs="Calibri"/>
      <w:sz w:val="22"/>
      <w:szCs w:val="22"/>
    </w:rPr>
  </w:style>
  <w:style w:type="character" w:customStyle="1" w:styleId="PlainTextChar">
    <w:name w:val="Plain Text Char"/>
    <w:basedOn w:val="DefaultParagraphFont"/>
    <w:link w:val="PlainText"/>
    <w:uiPriority w:val="99"/>
    <w:rsid w:val="0036611B"/>
    <w:rPr>
      <w:rFonts w:ascii="Calibri" w:hAnsi="Calibri" w:cs="Calibri"/>
      <w:sz w:val="22"/>
      <w:szCs w:val="22"/>
    </w:rPr>
  </w:style>
  <w:style w:type="paragraph" w:styleId="Revision">
    <w:name w:val="Revision"/>
    <w:hidden/>
    <w:uiPriority w:val="99"/>
    <w:semiHidden/>
    <w:rsid w:val="0036611B"/>
    <w:pPr>
      <w:spacing w:after="0" w:line="240" w:lineRule="auto"/>
    </w:pPr>
  </w:style>
  <w:style w:type="paragraph" w:styleId="CommentSubject">
    <w:name w:val="annotation subject"/>
    <w:basedOn w:val="Normal"/>
    <w:next w:val="Normal"/>
    <w:link w:val="CommentSubjectChar"/>
    <w:uiPriority w:val="99"/>
    <w:semiHidden/>
    <w:unhideWhenUsed/>
    <w:rsid w:val="00EF0712"/>
    <w:pPr>
      <w:spacing w:before="0" w:after="160"/>
    </w:pPr>
    <w:rPr>
      <w:rFonts w:ascii="Times New Roman" w:hAnsi="Times New Roman"/>
      <w:b/>
      <w:bCs/>
    </w:rPr>
  </w:style>
  <w:style w:type="character" w:customStyle="1" w:styleId="CommentSubjectChar">
    <w:name w:val="Comment Subject Char"/>
    <w:basedOn w:val="DefaultParagraphFont"/>
    <w:link w:val="CommentSubject"/>
    <w:uiPriority w:val="99"/>
    <w:semiHidden/>
    <w:rsid w:val="00EF0712"/>
    <w:rPr>
      <w:rFonts w:ascii="Arial" w:eastAsia="Times New Roman" w:hAnsi="Arial"/>
      <w:b/>
      <w:bCs/>
      <w:color w:val="000000"/>
      <w:sz w:val="20"/>
      <w:szCs w:val="20"/>
    </w:rPr>
  </w:style>
  <w:style w:type="character" w:customStyle="1" w:styleId="UnresolvedMention1">
    <w:name w:val="Unresolved Mention1"/>
    <w:basedOn w:val="DefaultParagraphFont"/>
    <w:uiPriority w:val="99"/>
    <w:semiHidden/>
    <w:unhideWhenUsed/>
    <w:rsid w:val="00362C11"/>
    <w:rPr>
      <w:color w:val="605E5C"/>
      <w:shd w:val="clear" w:color="auto" w:fill="E1DFDD"/>
    </w:rPr>
  </w:style>
  <w:style w:type="table" w:styleId="TableGrid">
    <w:name w:val="Table Grid"/>
    <w:basedOn w:val="TableNormal"/>
    <w:uiPriority w:val="39"/>
    <w:rsid w:val="00430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67E98"/>
    <w:rPr>
      <w:rFonts w:asciiTheme="minorHAnsi" w:eastAsiaTheme="majorEastAsia" w:hAnsiTheme="minorHAnsi" w:cstheme="majorBidi"/>
      <w:color w:val="2F5496" w:themeColor="accent1" w:themeShade="BF"/>
      <w:sz w:val="36"/>
      <w:szCs w:val="26"/>
    </w:rPr>
  </w:style>
  <w:style w:type="paragraph" w:styleId="TOC2">
    <w:name w:val="toc 2"/>
    <w:basedOn w:val="Normal"/>
    <w:next w:val="Normal"/>
    <w:autoRedefine/>
    <w:uiPriority w:val="39"/>
    <w:unhideWhenUsed/>
    <w:rsid w:val="007445F9"/>
    <w:pPr>
      <w:spacing w:after="100"/>
      <w:ind w:left="240"/>
    </w:pPr>
  </w:style>
  <w:style w:type="paragraph" w:customStyle="1" w:styleId="Default">
    <w:name w:val="Default"/>
    <w:rsid w:val="00556A94"/>
    <w:pPr>
      <w:autoSpaceDE w:val="0"/>
      <w:autoSpaceDN w:val="0"/>
      <w:adjustRightInd w:val="0"/>
      <w:spacing w:after="0" w:line="240" w:lineRule="auto"/>
    </w:pPr>
    <w:rPr>
      <w:rFonts w:ascii="Calibri" w:hAnsi="Calibri" w:cs="Calibri"/>
      <w:color w:val="000000"/>
    </w:rPr>
  </w:style>
  <w:style w:type="paragraph" w:styleId="NormalWeb">
    <w:name w:val="Normal (Web)"/>
    <w:basedOn w:val="Normal"/>
    <w:uiPriority w:val="99"/>
    <w:unhideWhenUsed/>
    <w:rsid w:val="007A20A5"/>
    <w:pPr>
      <w:spacing w:before="100" w:beforeAutospacing="1" w:after="100" w:afterAutospacing="1" w:line="240" w:lineRule="auto"/>
    </w:pPr>
    <w:rPr>
      <w:rFonts w:eastAsia="Times New Roman"/>
      <w:lang w:eastAsia="en-AU"/>
    </w:rPr>
  </w:style>
  <w:style w:type="paragraph" w:customStyle="1" w:styleId="Tabletextboldblue">
    <w:name w:val="Table text (bold blue)"/>
    <w:basedOn w:val="Normal"/>
    <w:link w:val="TabletextboldblueChar"/>
    <w:qFormat/>
    <w:rsid w:val="00EF0712"/>
    <w:pPr>
      <w:spacing w:line="276" w:lineRule="auto"/>
    </w:pPr>
    <w:rPr>
      <w:rFonts w:cs="Arial"/>
      <w:bCs/>
      <w:color w:val="2F5496" w:themeColor="accent1" w:themeShade="BF"/>
      <w:sz w:val="22"/>
      <w:szCs w:val="21"/>
    </w:rPr>
  </w:style>
  <w:style w:type="character" w:styleId="FollowedHyperlink">
    <w:name w:val="FollowedHyperlink"/>
    <w:basedOn w:val="DefaultParagraphFont"/>
    <w:uiPriority w:val="99"/>
    <w:semiHidden/>
    <w:unhideWhenUsed/>
    <w:rsid w:val="00C02D9F"/>
    <w:rPr>
      <w:color w:val="954F72" w:themeColor="followedHyperlink"/>
      <w:u w:val="single"/>
    </w:rPr>
  </w:style>
  <w:style w:type="paragraph" w:styleId="BalloonText">
    <w:name w:val="Balloon Text"/>
    <w:basedOn w:val="Normal"/>
    <w:link w:val="BalloonTextChar"/>
    <w:uiPriority w:val="99"/>
    <w:semiHidden/>
    <w:unhideWhenUsed/>
    <w:rsid w:val="004F0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B40"/>
    <w:rPr>
      <w:rFonts w:ascii="Segoe UI" w:hAnsi="Segoe UI" w:cs="Segoe UI"/>
      <w:sz w:val="18"/>
      <w:szCs w:val="18"/>
    </w:rPr>
  </w:style>
  <w:style w:type="character" w:styleId="UnresolvedMention">
    <w:name w:val="Unresolved Mention"/>
    <w:basedOn w:val="DefaultParagraphFont"/>
    <w:uiPriority w:val="99"/>
    <w:semiHidden/>
    <w:unhideWhenUsed/>
    <w:rsid w:val="009F10D8"/>
    <w:rPr>
      <w:color w:val="605E5C"/>
      <w:shd w:val="clear" w:color="auto" w:fill="E1DFDD"/>
    </w:rPr>
  </w:style>
  <w:style w:type="character" w:styleId="Mention">
    <w:name w:val="Mention"/>
    <w:basedOn w:val="DefaultParagraphFont"/>
    <w:uiPriority w:val="99"/>
    <w:unhideWhenUsed/>
    <w:rsid w:val="00880CFD"/>
    <w:rPr>
      <w:color w:val="2B579A"/>
      <w:shd w:val="clear" w:color="auto" w:fill="E1DFDD"/>
    </w:rPr>
  </w:style>
  <w:style w:type="character" w:customStyle="1" w:styleId="TabletextboldblueChar">
    <w:name w:val="Table text (bold blue) Char"/>
    <w:basedOn w:val="DefaultParagraphFont"/>
    <w:link w:val="Tabletextboldblue"/>
    <w:rsid w:val="00EF0712"/>
    <w:rPr>
      <w:rFonts w:ascii="Arial" w:hAnsi="Arial" w:cs="Arial"/>
      <w:bCs/>
      <w:color w:val="2F5496" w:themeColor="accent1" w:themeShade="BF"/>
      <w:sz w:val="22"/>
      <w:szCs w:val="21"/>
    </w:rPr>
  </w:style>
  <w:style w:type="paragraph" w:customStyle="1" w:styleId="Tablelistbulletlevel2">
    <w:name w:val="Table list bullet (level 2)"/>
    <w:basedOn w:val="Tablelistbullet"/>
    <w:link w:val="Tablelistbulletlevel2Char"/>
    <w:qFormat/>
    <w:rsid w:val="00993D99"/>
    <w:pPr>
      <w:numPr>
        <w:numId w:val="5"/>
      </w:numPr>
      <w:ind w:left="754" w:hanging="357"/>
    </w:pPr>
  </w:style>
  <w:style w:type="character" w:customStyle="1" w:styleId="Tablelistbulletlevel2Char">
    <w:name w:val="Table list bullet (level 2) Char"/>
    <w:basedOn w:val="TablelistbulletChar"/>
    <w:link w:val="Tablelistbulletlevel2"/>
    <w:rsid w:val="00993D99"/>
    <w:rPr>
      <w:rFonts w:ascii="Arial" w:eastAsia="Times New Roman" w:hAnsi="Arial"/>
      <w:color w:val="000000"/>
      <w:sz w:val="22"/>
      <w:szCs w:val="21"/>
    </w:rPr>
  </w:style>
  <w:style w:type="character" w:styleId="Strong">
    <w:name w:val="Strong"/>
    <w:basedOn w:val="DefaultParagraphFont"/>
    <w:uiPriority w:val="22"/>
    <w:qFormat/>
    <w:rsid w:val="00293AC5"/>
    <w:rPr>
      <w:b/>
      <w:bCs/>
    </w:rPr>
  </w:style>
  <w:style w:type="paragraph" w:styleId="ListBullet">
    <w:name w:val="List Bullet"/>
    <w:basedOn w:val="Normal"/>
    <w:uiPriority w:val="99"/>
    <w:unhideWhenUsed/>
    <w:rsid w:val="006C6B86"/>
    <w:pPr>
      <w:numPr>
        <w:numId w:val="2"/>
      </w:numPr>
      <w:contextualSpacing/>
    </w:pPr>
  </w:style>
  <w:style w:type="table" w:styleId="TableGridLight">
    <w:name w:val="Grid Table Light"/>
    <w:basedOn w:val="TableNormal"/>
    <w:uiPriority w:val="40"/>
    <w:rsid w:val="006C6B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epartmentofHealthtable">
    <w:name w:val="Department of Health table"/>
    <w:basedOn w:val="TableNormal"/>
    <w:uiPriority w:val="99"/>
    <w:rsid w:val="003F231A"/>
    <w:pPr>
      <w:spacing w:after="0" w:line="240" w:lineRule="auto"/>
    </w:pPr>
    <w:rPr>
      <w:rFonts w:ascii="Arial" w:eastAsia="Times New Roman" w:hAnsi="Arial"/>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header">
    <w:name w:val="Table header"/>
    <w:basedOn w:val="Normal"/>
    <w:rsid w:val="003F231A"/>
    <w:pPr>
      <w:spacing w:before="80" w:after="80" w:line="276" w:lineRule="auto"/>
    </w:pPr>
    <w:rPr>
      <w:rFonts w:eastAsia="Times New Roman"/>
      <w:b/>
      <w:bCs/>
      <w:color w:val="FFFFFF" w:themeColor="background1"/>
      <w:sz w:val="22"/>
      <w:szCs w:val="20"/>
    </w:rPr>
  </w:style>
  <w:style w:type="paragraph" w:customStyle="1" w:styleId="Tabletextleft">
    <w:name w:val="Table text left"/>
    <w:autoRedefine/>
    <w:qFormat/>
    <w:rsid w:val="003F231A"/>
    <w:pPr>
      <w:spacing w:before="60" w:after="60" w:line="240" w:lineRule="auto"/>
    </w:pPr>
    <w:rPr>
      <w:rFonts w:ascii="Arial" w:eastAsia="Times New Roman" w:hAnsi="Arial"/>
      <w:color w:val="000000" w:themeColor="text1"/>
      <w:sz w:val="21"/>
    </w:rPr>
  </w:style>
  <w:style w:type="paragraph" w:customStyle="1" w:styleId="Tabletextright">
    <w:name w:val="Table text right"/>
    <w:basedOn w:val="Tabletextleft"/>
    <w:rsid w:val="003F231A"/>
    <w:pPr>
      <w:jc w:val="right"/>
    </w:pPr>
  </w:style>
  <w:style w:type="paragraph" w:styleId="TableofAuthorities">
    <w:name w:val="table of authorities"/>
    <w:next w:val="Normal"/>
    <w:uiPriority w:val="99"/>
    <w:unhideWhenUsed/>
    <w:rsid w:val="003F231A"/>
    <w:pPr>
      <w:spacing w:before="120" w:after="120"/>
      <w:ind w:left="238" w:hanging="238"/>
    </w:pPr>
    <w:rPr>
      <w:rFonts w:ascii="Arial" w:hAnsi="Arial"/>
      <w:b/>
      <w:color w:val="FFFFFF" w:themeColor="background1"/>
    </w:rPr>
  </w:style>
  <w:style w:type="paragraph" w:styleId="ListBullet2">
    <w:name w:val="List Bullet 2"/>
    <w:basedOn w:val="Normal"/>
    <w:uiPriority w:val="99"/>
    <w:unhideWhenUsed/>
    <w:rsid w:val="003F231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5508">
      <w:bodyDiv w:val="1"/>
      <w:marLeft w:val="0"/>
      <w:marRight w:val="0"/>
      <w:marTop w:val="0"/>
      <w:marBottom w:val="0"/>
      <w:divBdr>
        <w:top w:val="none" w:sz="0" w:space="0" w:color="auto"/>
        <w:left w:val="none" w:sz="0" w:space="0" w:color="auto"/>
        <w:bottom w:val="none" w:sz="0" w:space="0" w:color="auto"/>
        <w:right w:val="none" w:sz="0" w:space="0" w:color="auto"/>
      </w:divBdr>
    </w:div>
    <w:div w:id="307127872">
      <w:bodyDiv w:val="1"/>
      <w:marLeft w:val="0"/>
      <w:marRight w:val="0"/>
      <w:marTop w:val="0"/>
      <w:marBottom w:val="0"/>
      <w:divBdr>
        <w:top w:val="none" w:sz="0" w:space="0" w:color="auto"/>
        <w:left w:val="none" w:sz="0" w:space="0" w:color="auto"/>
        <w:bottom w:val="none" w:sz="0" w:space="0" w:color="auto"/>
        <w:right w:val="none" w:sz="0" w:space="0" w:color="auto"/>
      </w:divBdr>
      <w:divsChild>
        <w:div w:id="419714708">
          <w:marLeft w:val="0"/>
          <w:marRight w:val="0"/>
          <w:marTop w:val="0"/>
          <w:marBottom w:val="0"/>
          <w:divBdr>
            <w:top w:val="none" w:sz="0" w:space="0" w:color="auto"/>
            <w:left w:val="none" w:sz="0" w:space="0" w:color="auto"/>
            <w:bottom w:val="none" w:sz="0" w:space="0" w:color="auto"/>
            <w:right w:val="none" w:sz="0" w:space="0" w:color="auto"/>
          </w:divBdr>
        </w:div>
        <w:div w:id="1538814701">
          <w:marLeft w:val="0"/>
          <w:marRight w:val="0"/>
          <w:marTop w:val="0"/>
          <w:marBottom w:val="0"/>
          <w:divBdr>
            <w:top w:val="none" w:sz="0" w:space="0" w:color="auto"/>
            <w:left w:val="none" w:sz="0" w:space="0" w:color="auto"/>
            <w:bottom w:val="none" w:sz="0" w:space="0" w:color="auto"/>
            <w:right w:val="none" w:sz="0" w:space="0" w:color="auto"/>
          </w:divBdr>
        </w:div>
      </w:divsChild>
    </w:div>
    <w:div w:id="385036023">
      <w:bodyDiv w:val="1"/>
      <w:marLeft w:val="0"/>
      <w:marRight w:val="0"/>
      <w:marTop w:val="0"/>
      <w:marBottom w:val="0"/>
      <w:divBdr>
        <w:top w:val="none" w:sz="0" w:space="0" w:color="auto"/>
        <w:left w:val="none" w:sz="0" w:space="0" w:color="auto"/>
        <w:bottom w:val="none" w:sz="0" w:space="0" w:color="auto"/>
        <w:right w:val="none" w:sz="0" w:space="0" w:color="auto"/>
      </w:divBdr>
    </w:div>
    <w:div w:id="395671284">
      <w:bodyDiv w:val="1"/>
      <w:marLeft w:val="0"/>
      <w:marRight w:val="0"/>
      <w:marTop w:val="0"/>
      <w:marBottom w:val="0"/>
      <w:divBdr>
        <w:top w:val="none" w:sz="0" w:space="0" w:color="auto"/>
        <w:left w:val="none" w:sz="0" w:space="0" w:color="auto"/>
        <w:bottom w:val="none" w:sz="0" w:space="0" w:color="auto"/>
        <w:right w:val="none" w:sz="0" w:space="0" w:color="auto"/>
      </w:divBdr>
    </w:div>
    <w:div w:id="451630423">
      <w:bodyDiv w:val="1"/>
      <w:marLeft w:val="0"/>
      <w:marRight w:val="0"/>
      <w:marTop w:val="0"/>
      <w:marBottom w:val="0"/>
      <w:divBdr>
        <w:top w:val="none" w:sz="0" w:space="0" w:color="auto"/>
        <w:left w:val="none" w:sz="0" w:space="0" w:color="auto"/>
        <w:bottom w:val="none" w:sz="0" w:space="0" w:color="auto"/>
        <w:right w:val="none" w:sz="0" w:space="0" w:color="auto"/>
      </w:divBdr>
    </w:div>
    <w:div w:id="539128174">
      <w:bodyDiv w:val="1"/>
      <w:marLeft w:val="0"/>
      <w:marRight w:val="0"/>
      <w:marTop w:val="0"/>
      <w:marBottom w:val="0"/>
      <w:divBdr>
        <w:top w:val="none" w:sz="0" w:space="0" w:color="auto"/>
        <w:left w:val="none" w:sz="0" w:space="0" w:color="auto"/>
        <w:bottom w:val="none" w:sz="0" w:space="0" w:color="auto"/>
        <w:right w:val="none" w:sz="0" w:space="0" w:color="auto"/>
      </w:divBdr>
    </w:div>
    <w:div w:id="549918667">
      <w:bodyDiv w:val="1"/>
      <w:marLeft w:val="0"/>
      <w:marRight w:val="0"/>
      <w:marTop w:val="0"/>
      <w:marBottom w:val="0"/>
      <w:divBdr>
        <w:top w:val="none" w:sz="0" w:space="0" w:color="auto"/>
        <w:left w:val="none" w:sz="0" w:space="0" w:color="auto"/>
        <w:bottom w:val="none" w:sz="0" w:space="0" w:color="auto"/>
        <w:right w:val="none" w:sz="0" w:space="0" w:color="auto"/>
      </w:divBdr>
    </w:div>
    <w:div w:id="746465943">
      <w:bodyDiv w:val="1"/>
      <w:marLeft w:val="0"/>
      <w:marRight w:val="0"/>
      <w:marTop w:val="0"/>
      <w:marBottom w:val="0"/>
      <w:divBdr>
        <w:top w:val="none" w:sz="0" w:space="0" w:color="auto"/>
        <w:left w:val="none" w:sz="0" w:space="0" w:color="auto"/>
        <w:bottom w:val="none" w:sz="0" w:space="0" w:color="auto"/>
        <w:right w:val="none" w:sz="0" w:space="0" w:color="auto"/>
      </w:divBdr>
    </w:div>
    <w:div w:id="764419581">
      <w:bodyDiv w:val="1"/>
      <w:marLeft w:val="0"/>
      <w:marRight w:val="0"/>
      <w:marTop w:val="0"/>
      <w:marBottom w:val="0"/>
      <w:divBdr>
        <w:top w:val="none" w:sz="0" w:space="0" w:color="auto"/>
        <w:left w:val="none" w:sz="0" w:space="0" w:color="auto"/>
        <w:bottom w:val="none" w:sz="0" w:space="0" w:color="auto"/>
        <w:right w:val="none" w:sz="0" w:space="0" w:color="auto"/>
      </w:divBdr>
    </w:div>
    <w:div w:id="972061401">
      <w:bodyDiv w:val="1"/>
      <w:marLeft w:val="0"/>
      <w:marRight w:val="0"/>
      <w:marTop w:val="0"/>
      <w:marBottom w:val="0"/>
      <w:divBdr>
        <w:top w:val="none" w:sz="0" w:space="0" w:color="auto"/>
        <w:left w:val="none" w:sz="0" w:space="0" w:color="auto"/>
        <w:bottom w:val="none" w:sz="0" w:space="0" w:color="auto"/>
        <w:right w:val="none" w:sz="0" w:space="0" w:color="auto"/>
      </w:divBdr>
    </w:div>
    <w:div w:id="984629068">
      <w:bodyDiv w:val="1"/>
      <w:marLeft w:val="0"/>
      <w:marRight w:val="0"/>
      <w:marTop w:val="0"/>
      <w:marBottom w:val="0"/>
      <w:divBdr>
        <w:top w:val="none" w:sz="0" w:space="0" w:color="auto"/>
        <w:left w:val="none" w:sz="0" w:space="0" w:color="auto"/>
        <w:bottom w:val="none" w:sz="0" w:space="0" w:color="auto"/>
        <w:right w:val="none" w:sz="0" w:space="0" w:color="auto"/>
      </w:divBdr>
    </w:div>
    <w:div w:id="1078330867">
      <w:bodyDiv w:val="1"/>
      <w:marLeft w:val="0"/>
      <w:marRight w:val="0"/>
      <w:marTop w:val="0"/>
      <w:marBottom w:val="0"/>
      <w:divBdr>
        <w:top w:val="none" w:sz="0" w:space="0" w:color="auto"/>
        <w:left w:val="none" w:sz="0" w:space="0" w:color="auto"/>
        <w:bottom w:val="none" w:sz="0" w:space="0" w:color="auto"/>
        <w:right w:val="none" w:sz="0" w:space="0" w:color="auto"/>
      </w:divBdr>
    </w:div>
    <w:div w:id="1317152716">
      <w:bodyDiv w:val="1"/>
      <w:marLeft w:val="0"/>
      <w:marRight w:val="0"/>
      <w:marTop w:val="0"/>
      <w:marBottom w:val="0"/>
      <w:divBdr>
        <w:top w:val="none" w:sz="0" w:space="0" w:color="auto"/>
        <w:left w:val="none" w:sz="0" w:space="0" w:color="auto"/>
        <w:bottom w:val="none" w:sz="0" w:space="0" w:color="auto"/>
        <w:right w:val="none" w:sz="0" w:space="0" w:color="auto"/>
      </w:divBdr>
    </w:div>
    <w:div w:id="1376926346">
      <w:bodyDiv w:val="1"/>
      <w:marLeft w:val="0"/>
      <w:marRight w:val="0"/>
      <w:marTop w:val="0"/>
      <w:marBottom w:val="0"/>
      <w:divBdr>
        <w:top w:val="none" w:sz="0" w:space="0" w:color="auto"/>
        <w:left w:val="none" w:sz="0" w:space="0" w:color="auto"/>
        <w:bottom w:val="none" w:sz="0" w:space="0" w:color="auto"/>
        <w:right w:val="none" w:sz="0" w:space="0" w:color="auto"/>
      </w:divBdr>
    </w:div>
    <w:div w:id="1683050049">
      <w:bodyDiv w:val="1"/>
      <w:marLeft w:val="0"/>
      <w:marRight w:val="0"/>
      <w:marTop w:val="0"/>
      <w:marBottom w:val="0"/>
      <w:divBdr>
        <w:top w:val="none" w:sz="0" w:space="0" w:color="auto"/>
        <w:left w:val="none" w:sz="0" w:space="0" w:color="auto"/>
        <w:bottom w:val="none" w:sz="0" w:space="0" w:color="auto"/>
        <w:right w:val="none" w:sz="0" w:space="0" w:color="auto"/>
      </w:divBdr>
      <w:divsChild>
        <w:div w:id="185602529">
          <w:marLeft w:val="0"/>
          <w:marRight w:val="0"/>
          <w:marTop w:val="0"/>
          <w:marBottom w:val="0"/>
          <w:divBdr>
            <w:top w:val="none" w:sz="0" w:space="0" w:color="auto"/>
            <w:left w:val="none" w:sz="0" w:space="0" w:color="auto"/>
            <w:bottom w:val="none" w:sz="0" w:space="0" w:color="auto"/>
            <w:right w:val="none" w:sz="0" w:space="0" w:color="auto"/>
          </w:divBdr>
        </w:div>
        <w:div w:id="1469741522">
          <w:marLeft w:val="0"/>
          <w:marRight w:val="0"/>
          <w:marTop w:val="0"/>
          <w:marBottom w:val="0"/>
          <w:divBdr>
            <w:top w:val="none" w:sz="0" w:space="0" w:color="auto"/>
            <w:left w:val="none" w:sz="0" w:space="0" w:color="auto"/>
            <w:bottom w:val="none" w:sz="0" w:space="0" w:color="auto"/>
            <w:right w:val="none" w:sz="0" w:space="0" w:color="auto"/>
          </w:divBdr>
        </w:div>
      </w:divsChild>
    </w:div>
    <w:div w:id="1847477194">
      <w:bodyDiv w:val="1"/>
      <w:marLeft w:val="0"/>
      <w:marRight w:val="0"/>
      <w:marTop w:val="0"/>
      <w:marBottom w:val="0"/>
      <w:divBdr>
        <w:top w:val="none" w:sz="0" w:space="0" w:color="auto"/>
        <w:left w:val="none" w:sz="0" w:space="0" w:color="auto"/>
        <w:bottom w:val="none" w:sz="0" w:space="0" w:color="auto"/>
        <w:right w:val="none" w:sz="0" w:space="0" w:color="auto"/>
      </w:divBdr>
    </w:div>
    <w:div w:id="1873109601">
      <w:bodyDiv w:val="1"/>
      <w:marLeft w:val="0"/>
      <w:marRight w:val="0"/>
      <w:marTop w:val="0"/>
      <w:marBottom w:val="0"/>
      <w:divBdr>
        <w:top w:val="none" w:sz="0" w:space="0" w:color="auto"/>
        <w:left w:val="none" w:sz="0" w:space="0" w:color="auto"/>
        <w:bottom w:val="none" w:sz="0" w:space="0" w:color="auto"/>
        <w:right w:val="none" w:sz="0" w:space="0" w:color="auto"/>
      </w:divBdr>
    </w:div>
    <w:div w:id="1923832137">
      <w:bodyDiv w:val="1"/>
      <w:marLeft w:val="0"/>
      <w:marRight w:val="0"/>
      <w:marTop w:val="0"/>
      <w:marBottom w:val="0"/>
      <w:divBdr>
        <w:top w:val="none" w:sz="0" w:space="0" w:color="auto"/>
        <w:left w:val="none" w:sz="0" w:space="0" w:color="auto"/>
        <w:bottom w:val="none" w:sz="0" w:space="0" w:color="auto"/>
        <w:right w:val="none" w:sz="0" w:space="0" w:color="auto"/>
      </w:divBdr>
    </w:div>
    <w:div w:id="1973902300">
      <w:bodyDiv w:val="1"/>
      <w:marLeft w:val="0"/>
      <w:marRight w:val="0"/>
      <w:marTop w:val="0"/>
      <w:marBottom w:val="0"/>
      <w:divBdr>
        <w:top w:val="none" w:sz="0" w:space="0" w:color="auto"/>
        <w:left w:val="none" w:sz="0" w:space="0" w:color="auto"/>
        <w:bottom w:val="none" w:sz="0" w:space="0" w:color="auto"/>
        <w:right w:val="none" w:sz="0" w:space="0" w:color="auto"/>
      </w:divBdr>
    </w:div>
    <w:div w:id="2058386929">
      <w:bodyDiv w:val="1"/>
      <w:marLeft w:val="0"/>
      <w:marRight w:val="0"/>
      <w:marTop w:val="0"/>
      <w:marBottom w:val="0"/>
      <w:divBdr>
        <w:top w:val="none" w:sz="0" w:space="0" w:color="auto"/>
        <w:left w:val="none" w:sz="0" w:space="0" w:color="auto"/>
        <w:bottom w:val="none" w:sz="0" w:space="0" w:color="auto"/>
        <w:right w:val="none" w:sz="0" w:space="0" w:color="auto"/>
      </w:divBdr>
    </w:div>
    <w:div w:id="211840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o.int/europe/news-room/fact-sheets/item/post-covid-19-condition"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yperlink" Target="https://www.health.gov.au/resources/publications/national-strategic-framework-for-chronic-conditions?language=en" TargetMode="External"/><Relationship Id="rId21" Type="http://schemas.openxmlformats.org/officeDocument/2006/relationships/image" Target="media/image8.svg"/><Relationship Id="rId34" Type="http://schemas.openxmlformats.org/officeDocument/2006/relationships/image" Target="media/image21.png"/><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footer" Target="footer1.xml"/><Relationship Id="rId55" Type="http://schemas.openxmlformats.org/officeDocument/2006/relationships/image" Target="media/image36.png"/><Relationship Id="rId63" Type="http://schemas.openxmlformats.org/officeDocument/2006/relationships/hyperlink" Target="https://www.safetyandquality.gov.au/"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6.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yperlink" Target="https://www.health.gov.au/resources/publications/strengthening-medicare-taskforce-report?language=en" TargetMode="External"/><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image" Target="media/image34.png"/><Relationship Id="rId58" Type="http://schemas.openxmlformats.org/officeDocument/2006/relationships/image" Target="media/image39.png"/><Relationship Id="rId66"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ph.gov.au/longandrepeatedcovid" TargetMode="External"/><Relationship Id="rId23" Type="http://schemas.openxmlformats.org/officeDocument/2006/relationships/image" Target="media/image10.svg"/><Relationship Id="rId28" Type="http://schemas.openxmlformats.org/officeDocument/2006/relationships/image" Target="media/image15.png"/><Relationship Id="rId36" Type="http://schemas.openxmlformats.org/officeDocument/2006/relationships/hyperlink" Target="https://www.health.gov.au/resources/publications/australias-primary-health-care-10-year-plan-2022-2032" TargetMode="External"/><Relationship Id="rId49" Type="http://schemas.openxmlformats.org/officeDocument/2006/relationships/hyperlink" Target="https://www.aph.gov.au/longandrepeatedcovid" TargetMode="External"/><Relationship Id="rId57" Type="http://schemas.openxmlformats.org/officeDocument/2006/relationships/image" Target="media/image38.png"/><Relationship Id="rId61" Type="http://schemas.openxmlformats.org/officeDocument/2006/relationships/hyperlink" Target="https://www.health.gov.au/resources/publications/national-covid-19-health-management-plan-for-2023?language=en" TargetMode="External"/><Relationship Id="rId10" Type="http://schemas.openxmlformats.org/officeDocument/2006/relationships/endnotes" Target="endnotes.xml"/><Relationship Id="rId19" Type="http://schemas.openxmlformats.org/officeDocument/2006/relationships/image" Target="media/image6.svg"/><Relationship Id="rId31" Type="http://schemas.openxmlformats.org/officeDocument/2006/relationships/image" Target="media/image18.svg"/><Relationship Id="rId44" Type="http://schemas.openxmlformats.org/officeDocument/2006/relationships/image" Target="media/image27.svg"/><Relationship Id="rId52" Type="http://schemas.openxmlformats.org/officeDocument/2006/relationships/image" Target="media/image33.png"/><Relationship Id="rId60" Type="http://schemas.openxmlformats.org/officeDocument/2006/relationships/hyperlink" Target="https://www.health.gov.au/resources/publications/australian-health-sector-emergency-response-plan-for-novel-coronavirus-covid-19?language=en" TargetMode="External"/><Relationship Id="rId65" Type="http://schemas.openxmlformats.org/officeDocument/2006/relationships/hyperlink" Target="https://www.health.gov.au/about-us/contact-us/local-state-and-territory-health-depart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4.svg"/><Relationship Id="rId30" Type="http://schemas.openxmlformats.org/officeDocument/2006/relationships/image" Target="media/image17.png"/><Relationship Id="rId35" Type="http://schemas.openxmlformats.org/officeDocument/2006/relationships/image" Target="media/image22.svg"/><Relationship Id="rId43" Type="http://schemas.openxmlformats.org/officeDocument/2006/relationships/image" Target="media/image26.svg"/><Relationship Id="rId48" Type="http://schemas.openxmlformats.org/officeDocument/2006/relationships/image" Target="media/image31.svg"/><Relationship Id="rId56" Type="http://schemas.openxmlformats.org/officeDocument/2006/relationships/image" Target="media/image37.svg"/><Relationship Id="rId64" Type="http://schemas.openxmlformats.org/officeDocument/2006/relationships/hyperlink" Target="https://covid19.swa.gov.au/doc/improving-ventilation-indoor-workplaces-covid-19"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32.png"/><Relationship Id="rId3" Type="http://schemas.openxmlformats.org/officeDocument/2006/relationships/customXml" Target="../customXml/item3.xml"/><Relationship Id="rId12" Type="http://schemas.openxmlformats.org/officeDocument/2006/relationships/hyperlink" Target="https://parlinfo.aph.gov.au/parlInfo/download/committees/reportrep/RB000006/toc_pdf/SickandtiredCastingalongshadow.pdf" TargetMode="External"/><Relationship Id="rId17" Type="http://schemas.openxmlformats.org/officeDocument/2006/relationships/image" Target="media/image4.svg"/><Relationship Id="rId25" Type="http://schemas.openxmlformats.org/officeDocument/2006/relationships/image" Target="media/image12.svg"/><Relationship Id="rId33" Type="http://schemas.openxmlformats.org/officeDocument/2006/relationships/image" Target="media/image20.svg"/><Relationship Id="rId38" Type="http://schemas.openxmlformats.org/officeDocument/2006/relationships/hyperlink" Target="https://www.health.gov.au/our-work/2020-25-national-health-reform-agreement-nhra" TargetMode="External"/><Relationship Id="rId46" Type="http://schemas.openxmlformats.org/officeDocument/2006/relationships/image" Target="media/image29.svg"/><Relationship Id="rId59" Type="http://schemas.openxmlformats.org/officeDocument/2006/relationships/hyperlink" Target="https://www.health.gov.au/our-work/covid-19-vaccines/advice-for-providers/clinical-guidance" TargetMode="External"/><Relationship Id="rId67" Type="http://schemas.openxmlformats.org/officeDocument/2006/relationships/footer" Target="footer2.xml"/><Relationship Id="rId20" Type="http://schemas.openxmlformats.org/officeDocument/2006/relationships/image" Target="media/image7.png"/><Relationship Id="rId41" Type="http://schemas.openxmlformats.org/officeDocument/2006/relationships/image" Target="media/image24.svg"/><Relationship Id="rId54" Type="http://schemas.openxmlformats.org/officeDocument/2006/relationships/image" Target="media/image35.png"/><Relationship Id="rId62" Type="http://schemas.openxmlformats.org/officeDocument/2006/relationships/hyperlink" Target="https://www.health.gov.au/health-alerts/covid-19/treatments/eligibilit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healthgov.sharepoint.com/sites/teamsandprojects/PHFP/Shared%20Documents/Long%20COVID%20-%20MSAU%20&amp;%20Public%20Health/Inquiry%20Public%20Hearing%20-%2017%20February/Working%20drafts/Impact%20of%20COVID-19%20vaccination%20on%20the%20risk%20of%20developing%20long-COVID%20and%20on%20existing%20long-COVID%20symptoms:%20A%20systematic%20review" TargetMode="External"/><Relationship Id="rId7" Type="http://schemas.openxmlformats.org/officeDocument/2006/relationships/hyperlink" Target="https://www.ncbi.nlm.nih.gov/pmc/articles/PMC9978692/" TargetMode="External"/><Relationship Id="rId2" Type="http://schemas.openxmlformats.org/officeDocument/2006/relationships/hyperlink" Target="https://www.thelancet.com/article/S1473-3099(21)00460-6/fulltext" TargetMode="External"/><Relationship Id="rId1" Type="http://schemas.openxmlformats.org/officeDocument/2006/relationships/hyperlink" Target="https://www.aihw.gov.au/reports/covid-19/long-covid-in-australia-a-review-of-the-literature/summary" TargetMode="External"/><Relationship Id="rId6" Type="http://schemas.openxmlformats.org/officeDocument/2006/relationships/hyperlink" Target="https://www.sciencedirect.com/science/article/pii/S0264410X23001342" TargetMode="External"/><Relationship Id="rId5" Type="http://schemas.openxmlformats.org/officeDocument/2006/relationships/hyperlink" Target="https://www.cambridge.org/core/journals/infection-control-and-hospital-epidemiology/article/abs/risk-factors-for-long-coronavirus-disease-2019-long-covid-among-healthcare-personnel-brazil-20202022/AA01F17E1C8A33C07457914E63AB3EEE" TargetMode="External"/><Relationship Id="rId4" Type="http://schemas.openxmlformats.org/officeDocument/2006/relationships/hyperlink" Target="https://www.sciencedirect.com/science/article/pii/S0140673622009412?via%3Dihu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46a0b3-cd66-4609-9da2-84a469bfa791" xsi:nil="true"/>
    <Owner xmlns="18c3eb6e-6732-4611-8ebe-7b7b57e90fa2" xsi:nil="true"/>
    <lcf76f155ced4ddcb4097134ff3c332f xmlns="18c3eb6e-6732-4611-8ebe-7b7b57e90fa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2F6A0814CB4F4D96822A22A89DB662" ma:contentTypeVersion="16" ma:contentTypeDescription="Create a new document." ma:contentTypeScope="" ma:versionID="73fbe61cf921700e0fbdd6fbc6d28d2a">
  <xsd:schema xmlns:xsd="http://www.w3.org/2001/XMLSchema" xmlns:xs="http://www.w3.org/2001/XMLSchema" xmlns:p="http://schemas.microsoft.com/office/2006/metadata/properties" xmlns:ns2="18c3eb6e-6732-4611-8ebe-7b7b57e90fa2" xmlns:ns3="27d35d66-890e-4494-8af6-07cc43d3679d" xmlns:ns4="6d46a0b3-cd66-4609-9da2-84a469bfa791" targetNamespace="http://schemas.microsoft.com/office/2006/metadata/properties" ma:root="true" ma:fieldsID="4d1bc6fec68b331c9ef84e29d15e8651" ns2:_="" ns3:_="" ns4:_="">
    <xsd:import namespace="18c3eb6e-6732-4611-8ebe-7b7b57e90fa2"/>
    <xsd:import namespace="27d35d66-890e-4494-8af6-07cc43d3679d"/>
    <xsd:import namespace="6d46a0b3-cd66-4609-9da2-84a469bfa7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wner"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3eb6e-6732-4611-8ebe-7b7b57e90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wner" ma:index="12" nillable="true" ma:displayName="Owner" ma:internalName="Owner">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d35d66-890e-4494-8af6-07cc43d367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46a0b3-cd66-4609-9da2-84a469bfa79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738972-d639-473e-90ad-fe77db4a6f5f}" ma:internalName="TaxCatchAll" ma:showField="CatchAllData" ma:web="6d46a0b3-cd66-4609-9da2-84a469bfa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AB2D6-D314-4F1B-ACC7-D41545E07178}">
  <ds:schemaRefs>
    <ds:schemaRef ds:uri="27d35d66-890e-4494-8af6-07cc43d3679d"/>
    <ds:schemaRef ds:uri="18c3eb6e-6732-4611-8ebe-7b7b57e90fa2"/>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46a0b3-cd66-4609-9da2-84a469bfa791"/>
    <ds:schemaRef ds:uri="http://www.w3.org/XML/1998/namespace"/>
    <ds:schemaRef ds:uri="http://purl.org/dc/dcmitype/"/>
  </ds:schemaRefs>
</ds:datastoreItem>
</file>

<file path=customXml/itemProps2.xml><?xml version="1.0" encoding="utf-8"?>
<ds:datastoreItem xmlns:ds="http://schemas.openxmlformats.org/officeDocument/2006/customXml" ds:itemID="{62CFFA6D-184E-4DE4-AB67-F575CAC61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3eb6e-6732-4611-8ebe-7b7b57e90fa2"/>
    <ds:schemaRef ds:uri="27d35d66-890e-4494-8af6-07cc43d3679d"/>
    <ds:schemaRef ds:uri="6d46a0b3-cd66-4609-9da2-84a469bfa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85DAE2-4C28-4549-9744-84079CD54177}">
  <ds:schemaRefs>
    <ds:schemaRef ds:uri="http://schemas.openxmlformats.org/officeDocument/2006/bibliography"/>
  </ds:schemaRefs>
</ds:datastoreItem>
</file>

<file path=customXml/itemProps4.xml><?xml version="1.0" encoding="utf-8"?>
<ds:datastoreItem xmlns:ds="http://schemas.openxmlformats.org/officeDocument/2006/customXml" ds:itemID="{EBD7237C-3F43-4DE8-B591-CCD3ED90FB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19</Pages>
  <Words>4845</Words>
  <Characters>29075</Characters>
  <Application>Microsoft Office Word</Application>
  <DocSecurity>0</DocSecurity>
  <Lines>597</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33810</CharactersWithSpaces>
  <SharedDoc>false</SharedDoc>
  <HLinks>
    <vt:vector size="258" baseType="variant">
      <vt:variant>
        <vt:i4>8061048</vt:i4>
      </vt:variant>
      <vt:variant>
        <vt:i4>165</vt:i4>
      </vt:variant>
      <vt:variant>
        <vt:i4>0</vt:i4>
      </vt:variant>
      <vt:variant>
        <vt:i4>5</vt:i4>
      </vt:variant>
      <vt:variant>
        <vt:lpwstr>https://www.health.gov.au/about-us/contact-us/local-state-and-territory-health-departments</vt:lpwstr>
      </vt:variant>
      <vt:variant>
        <vt:lpwstr/>
      </vt:variant>
      <vt:variant>
        <vt:i4>7995488</vt:i4>
      </vt:variant>
      <vt:variant>
        <vt:i4>162</vt:i4>
      </vt:variant>
      <vt:variant>
        <vt:i4>0</vt:i4>
      </vt:variant>
      <vt:variant>
        <vt:i4>5</vt:i4>
      </vt:variant>
      <vt:variant>
        <vt:lpwstr>https://covid19.swa.gov.au/doc/improving-ventilation-indoor-workplaces-covid-19</vt:lpwstr>
      </vt:variant>
      <vt:variant>
        <vt:lpwstr/>
      </vt:variant>
      <vt:variant>
        <vt:i4>262227</vt:i4>
      </vt:variant>
      <vt:variant>
        <vt:i4>159</vt:i4>
      </vt:variant>
      <vt:variant>
        <vt:i4>0</vt:i4>
      </vt:variant>
      <vt:variant>
        <vt:i4>5</vt:i4>
      </vt:variant>
      <vt:variant>
        <vt:lpwstr>https://www.safetyandquality.gov.au/</vt:lpwstr>
      </vt:variant>
      <vt:variant>
        <vt:lpwstr/>
      </vt:variant>
      <vt:variant>
        <vt:i4>7340147</vt:i4>
      </vt:variant>
      <vt:variant>
        <vt:i4>156</vt:i4>
      </vt:variant>
      <vt:variant>
        <vt:i4>0</vt:i4>
      </vt:variant>
      <vt:variant>
        <vt:i4>5</vt:i4>
      </vt:variant>
      <vt:variant>
        <vt:lpwstr>https://www.health.gov.au/health-alerts/covid-19/treatments/eligibility</vt:lpwstr>
      </vt:variant>
      <vt:variant>
        <vt:lpwstr/>
      </vt:variant>
      <vt:variant>
        <vt:i4>6750323</vt:i4>
      </vt:variant>
      <vt:variant>
        <vt:i4>153</vt:i4>
      </vt:variant>
      <vt:variant>
        <vt:i4>0</vt:i4>
      </vt:variant>
      <vt:variant>
        <vt:i4>5</vt:i4>
      </vt:variant>
      <vt:variant>
        <vt:lpwstr>https://www.health.gov.au/resources/publications/national-covid-19-health-management-plan-for-2023?language=en</vt:lpwstr>
      </vt:variant>
      <vt:variant>
        <vt:lpwstr/>
      </vt:variant>
      <vt:variant>
        <vt:i4>5701655</vt:i4>
      </vt:variant>
      <vt:variant>
        <vt:i4>150</vt:i4>
      </vt:variant>
      <vt:variant>
        <vt:i4>0</vt:i4>
      </vt:variant>
      <vt:variant>
        <vt:i4>5</vt:i4>
      </vt:variant>
      <vt:variant>
        <vt:lpwstr>https://www.health.gov.au/resources/publications/australian-health-sector-emergency-response-plan-for-novel-coronavirus-covid-19?language=en</vt:lpwstr>
      </vt:variant>
      <vt:variant>
        <vt:lpwstr/>
      </vt:variant>
      <vt:variant>
        <vt:i4>8323192</vt:i4>
      </vt:variant>
      <vt:variant>
        <vt:i4>147</vt:i4>
      </vt:variant>
      <vt:variant>
        <vt:i4>0</vt:i4>
      </vt:variant>
      <vt:variant>
        <vt:i4>5</vt:i4>
      </vt:variant>
      <vt:variant>
        <vt:lpwstr>https://www.health.gov.au/our-work/covid-19-vaccines/advice-for-providers/clinical-guidance</vt:lpwstr>
      </vt:variant>
      <vt:variant>
        <vt:lpwstr/>
      </vt:variant>
      <vt:variant>
        <vt:i4>2228267</vt:i4>
      </vt:variant>
      <vt:variant>
        <vt:i4>144</vt:i4>
      </vt:variant>
      <vt:variant>
        <vt:i4>0</vt:i4>
      </vt:variant>
      <vt:variant>
        <vt:i4>5</vt:i4>
      </vt:variant>
      <vt:variant>
        <vt:lpwstr>https://www.aph.gov.au/longandrepeatedcovid</vt:lpwstr>
      </vt:variant>
      <vt:variant>
        <vt:lpwstr>:~:text=Following%20a%20referral%20on%201,closed%20on%2018%20November%202022.</vt:lpwstr>
      </vt:variant>
      <vt:variant>
        <vt:i4>5046367</vt:i4>
      </vt:variant>
      <vt:variant>
        <vt:i4>141</vt:i4>
      </vt:variant>
      <vt:variant>
        <vt:i4>0</vt:i4>
      </vt:variant>
      <vt:variant>
        <vt:i4>5</vt:i4>
      </vt:variant>
      <vt:variant>
        <vt:lpwstr>https://www.health.gov.au/resources/publications/national-strategic-framework-for-chronic-conditions?language=en</vt:lpwstr>
      </vt:variant>
      <vt:variant>
        <vt:lpwstr/>
      </vt:variant>
      <vt:variant>
        <vt:i4>262217</vt:i4>
      </vt:variant>
      <vt:variant>
        <vt:i4>138</vt:i4>
      </vt:variant>
      <vt:variant>
        <vt:i4>0</vt:i4>
      </vt:variant>
      <vt:variant>
        <vt:i4>5</vt:i4>
      </vt:variant>
      <vt:variant>
        <vt:lpwstr>https://www.health.gov.au/our-work/2020-25-national-health-reform-agreement-nhra</vt:lpwstr>
      </vt:variant>
      <vt:variant>
        <vt:lpwstr/>
      </vt:variant>
      <vt:variant>
        <vt:i4>327700</vt:i4>
      </vt:variant>
      <vt:variant>
        <vt:i4>135</vt:i4>
      </vt:variant>
      <vt:variant>
        <vt:i4>0</vt:i4>
      </vt:variant>
      <vt:variant>
        <vt:i4>5</vt:i4>
      </vt:variant>
      <vt:variant>
        <vt:lpwstr>https://www.health.gov.au/resources/publications/strengthening-medicare-taskforce-report?language=en</vt:lpwstr>
      </vt:variant>
      <vt:variant>
        <vt:lpwstr/>
      </vt:variant>
      <vt:variant>
        <vt:i4>2293866</vt:i4>
      </vt:variant>
      <vt:variant>
        <vt:i4>132</vt:i4>
      </vt:variant>
      <vt:variant>
        <vt:i4>0</vt:i4>
      </vt:variant>
      <vt:variant>
        <vt:i4>5</vt:i4>
      </vt:variant>
      <vt:variant>
        <vt:lpwstr>https://www.health.gov.au/resources/publications/australias-primary-health-care-10-year-plan-2022-2032</vt:lpwstr>
      </vt:variant>
      <vt:variant>
        <vt:lpwstr/>
      </vt:variant>
      <vt:variant>
        <vt:i4>4128867</vt:i4>
      </vt:variant>
      <vt:variant>
        <vt:i4>129</vt:i4>
      </vt:variant>
      <vt:variant>
        <vt:i4>0</vt:i4>
      </vt:variant>
      <vt:variant>
        <vt:i4>5</vt:i4>
      </vt:variant>
      <vt:variant>
        <vt:lpwstr>https://www.health.gov.au/sites/default/files/documents/2019/09/national-strategic-framework-for-chronic-conditions.pdf</vt:lpwstr>
      </vt:variant>
      <vt:variant>
        <vt:lpwstr/>
      </vt:variant>
      <vt:variant>
        <vt:i4>5963886</vt:i4>
      </vt:variant>
      <vt:variant>
        <vt:i4>126</vt:i4>
      </vt:variant>
      <vt:variant>
        <vt:i4>0</vt:i4>
      </vt:variant>
      <vt:variant>
        <vt:i4>5</vt:i4>
      </vt:variant>
      <vt:variant>
        <vt:lpwstr/>
      </vt:variant>
      <vt:variant>
        <vt:lpwstr>_Our_ongoing_COVID-19</vt:lpwstr>
      </vt:variant>
      <vt:variant>
        <vt:i4>3342435</vt:i4>
      </vt:variant>
      <vt:variant>
        <vt:i4>123</vt:i4>
      </vt:variant>
      <vt:variant>
        <vt:i4>0</vt:i4>
      </vt:variant>
      <vt:variant>
        <vt:i4>5</vt:i4>
      </vt:variant>
      <vt:variant>
        <vt:lpwstr>https://www.aph.gov.au/longandrepeatedcovid</vt:lpwstr>
      </vt:variant>
      <vt:variant>
        <vt:lpwstr/>
      </vt:variant>
      <vt:variant>
        <vt:i4>1376345</vt:i4>
      </vt:variant>
      <vt:variant>
        <vt:i4>120</vt:i4>
      </vt:variant>
      <vt:variant>
        <vt:i4>0</vt:i4>
      </vt:variant>
      <vt:variant>
        <vt:i4>5</vt:i4>
      </vt:variant>
      <vt:variant>
        <vt:lpwstr>https://www.who.int/europe/news-room/fact-sheets/item/post-covid-19-condition</vt:lpwstr>
      </vt:variant>
      <vt:variant>
        <vt:lpwstr/>
      </vt:variant>
      <vt:variant>
        <vt:i4>196651</vt:i4>
      </vt:variant>
      <vt:variant>
        <vt:i4>117</vt:i4>
      </vt:variant>
      <vt:variant>
        <vt:i4>0</vt:i4>
      </vt:variant>
      <vt:variant>
        <vt:i4>5</vt:i4>
      </vt:variant>
      <vt:variant>
        <vt:lpwstr>https://parlinfo.aph.gov.au/parlInfo/download/committees/reportrep/RB000006/toc_pdf/SickandtiredCastingalongshadow.pdf</vt:lpwstr>
      </vt:variant>
      <vt:variant>
        <vt:lpwstr/>
      </vt:variant>
      <vt:variant>
        <vt:i4>1114172</vt:i4>
      </vt:variant>
      <vt:variant>
        <vt:i4>110</vt:i4>
      </vt:variant>
      <vt:variant>
        <vt:i4>0</vt:i4>
      </vt:variant>
      <vt:variant>
        <vt:i4>5</vt:i4>
      </vt:variant>
      <vt:variant>
        <vt:lpwstr/>
      </vt:variant>
      <vt:variant>
        <vt:lpwstr>_Toc157524824</vt:lpwstr>
      </vt:variant>
      <vt:variant>
        <vt:i4>1114172</vt:i4>
      </vt:variant>
      <vt:variant>
        <vt:i4>104</vt:i4>
      </vt:variant>
      <vt:variant>
        <vt:i4>0</vt:i4>
      </vt:variant>
      <vt:variant>
        <vt:i4>5</vt:i4>
      </vt:variant>
      <vt:variant>
        <vt:lpwstr/>
      </vt:variant>
      <vt:variant>
        <vt:lpwstr>_Toc157524823</vt:lpwstr>
      </vt:variant>
      <vt:variant>
        <vt:i4>1114172</vt:i4>
      </vt:variant>
      <vt:variant>
        <vt:i4>98</vt:i4>
      </vt:variant>
      <vt:variant>
        <vt:i4>0</vt:i4>
      </vt:variant>
      <vt:variant>
        <vt:i4>5</vt:i4>
      </vt:variant>
      <vt:variant>
        <vt:lpwstr/>
      </vt:variant>
      <vt:variant>
        <vt:lpwstr>_Toc157524822</vt:lpwstr>
      </vt:variant>
      <vt:variant>
        <vt:i4>1114172</vt:i4>
      </vt:variant>
      <vt:variant>
        <vt:i4>92</vt:i4>
      </vt:variant>
      <vt:variant>
        <vt:i4>0</vt:i4>
      </vt:variant>
      <vt:variant>
        <vt:i4>5</vt:i4>
      </vt:variant>
      <vt:variant>
        <vt:lpwstr/>
      </vt:variant>
      <vt:variant>
        <vt:lpwstr>_Toc157524821</vt:lpwstr>
      </vt:variant>
      <vt:variant>
        <vt:i4>1114172</vt:i4>
      </vt:variant>
      <vt:variant>
        <vt:i4>86</vt:i4>
      </vt:variant>
      <vt:variant>
        <vt:i4>0</vt:i4>
      </vt:variant>
      <vt:variant>
        <vt:i4>5</vt:i4>
      </vt:variant>
      <vt:variant>
        <vt:lpwstr/>
      </vt:variant>
      <vt:variant>
        <vt:lpwstr>_Toc157524820</vt:lpwstr>
      </vt:variant>
      <vt:variant>
        <vt:i4>1179708</vt:i4>
      </vt:variant>
      <vt:variant>
        <vt:i4>80</vt:i4>
      </vt:variant>
      <vt:variant>
        <vt:i4>0</vt:i4>
      </vt:variant>
      <vt:variant>
        <vt:i4>5</vt:i4>
      </vt:variant>
      <vt:variant>
        <vt:lpwstr/>
      </vt:variant>
      <vt:variant>
        <vt:lpwstr>_Toc157524819</vt:lpwstr>
      </vt:variant>
      <vt:variant>
        <vt:i4>1179708</vt:i4>
      </vt:variant>
      <vt:variant>
        <vt:i4>74</vt:i4>
      </vt:variant>
      <vt:variant>
        <vt:i4>0</vt:i4>
      </vt:variant>
      <vt:variant>
        <vt:i4>5</vt:i4>
      </vt:variant>
      <vt:variant>
        <vt:lpwstr/>
      </vt:variant>
      <vt:variant>
        <vt:lpwstr>_Toc157524818</vt:lpwstr>
      </vt:variant>
      <vt:variant>
        <vt:i4>1179708</vt:i4>
      </vt:variant>
      <vt:variant>
        <vt:i4>68</vt:i4>
      </vt:variant>
      <vt:variant>
        <vt:i4>0</vt:i4>
      </vt:variant>
      <vt:variant>
        <vt:i4>5</vt:i4>
      </vt:variant>
      <vt:variant>
        <vt:lpwstr/>
      </vt:variant>
      <vt:variant>
        <vt:lpwstr>_Toc157524817</vt:lpwstr>
      </vt:variant>
      <vt:variant>
        <vt:i4>1179708</vt:i4>
      </vt:variant>
      <vt:variant>
        <vt:i4>62</vt:i4>
      </vt:variant>
      <vt:variant>
        <vt:i4>0</vt:i4>
      </vt:variant>
      <vt:variant>
        <vt:i4>5</vt:i4>
      </vt:variant>
      <vt:variant>
        <vt:lpwstr/>
      </vt:variant>
      <vt:variant>
        <vt:lpwstr>_Toc157524816</vt:lpwstr>
      </vt:variant>
      <vt:variant>
        <vt:i4>1179708</vt:i4>
      </vt:variant>
      <vt:variant>
        <vt:i4>56</vt:i4>
      </vt:variant>
      <vt:variant>
        <vt:i4>0</vt:i4>
      </vt:variant>
      <vt:variant>
        <vt:i4>5</vt:i4>
      </vt:variant>
      <vt:variant>
        <vt:lpwstr/>
      </vt:variant>
      <vt:variant>
        <vt:lpwstr>_Toc157524815</vt:lpwstr>
      </vt:variant>
      <vt:variant>
        <vt:i4>1179708</vt:i4>
      </vt:variant>
      <vt:variant>
        <vt:i4>50</vt:i4>
      </vt:variant>
      <vt:variant>
        <vt:i4>0</vt:i4>
      </vt:variant>
      <vt:variant>
        <vt:i4>5</vt:i4>
      </vt:variant>
      <vt:variant>
        <vt:lpwstr/>
      </vt:variant>
      <vt:variant>
        <vt:lpwstr>_Toc157524814</vt:lpwstr>
      </vt:variant>
      <vt:variant>
        <vt:i4>1179708</vt:i4>
      </vt:variant>
      <vt:variant>
        <vt:i4>44</vt:i4>
      </vt:variant>
      <vt:variant>
        <vt:i4>0</vt:i4>
      </vt:variant>
      <vt:variant>
        <vt:i4>5</vt:i4>
      </vt:variant>
      <vt:variant>
        <vt:lpwstr/>
      </vt:variant>
      <vt:variant>
        <vt:lpwstr>_Toc157524813</vt:lpwstr>
      </vt:variant>
      <vt:variant>
        <vt:i4>1179708</vt:i4>
      </vt:variant>
      <vt:variant>
        <vt:i4>38</vt:i4>
      </vt:variant>
      <vt:variant>
        <vt:i4>0</vt:i4>
      </vt:variant>
      <vt:variant>
        <vt:i4>5</vt:i4>
      </vt:variant>
      <vt:variant>
        <vt:lpwstr/>
      </vt:variant>
      <vt:variant>
        <vt:lpwstr>_Toc157524812</vt:lpwstr>
      </vt:variant>
      <vt:variant>
        <vt:i4>1179708</vt:i4>
      </vt:variant>
      <vt:variant>
        <vt:i4>32</vt:i4>
      </vt:variant>
      <vt:variant>
        <vt:i4>0</vt:i4>
      </vt:variant>
      <vt:variant>
        <vt:i4>5</vt:i4>
      </vt:variant>
      <vt:variant>
        <vt:lpwstr/>
      </vt:variant>
      <vt:variant>
        <vt:lpwstr>_Toc157524811</vt:lpwstr>
      </vt:variant>
      <vt:variant>
        <vt:i4>1179708</vt:i4>
      </vt:variant>
      <vt:variant>
        <vt:i4>26</vt:i4>
      </vt:variant>
      <vt:variant>
        <vt:i4>0</vt:i4>
      </vt:variant>
      <vt:variant>
        <vt:i4>5</vt:i4>
      </vt:variant>
      <vt:variant>
        <vt:lpwstr/>
      </vt:variant>
      <vt:variant>
        <vt:lpwstr>_Toc157524810</vt:lpwstr>
      </vt:variant>
      <vt:variant>
        <vt:i4>1245244</vt:i4>
      </vt:variant>
      <vt:variant>
        <vt:i4>20</vt:i4>
      </vt:variant>
      <vt:variant>
        <vt:i4>0</vt:i4>
      </vt:variant>
      <vt:variant>
        <vt:i4>5</vt:i4>
      </vt:variant>
      <vt:variant>
        <vt:lpwstr/>
      </vt:variant>
      <vt:variant>
        <vt:lpwstr>_Toc157524809</vt:lpwstr>
      </vt:variant>
      <vt:variant>
        <vt:i4>1245244</vt:i4>
      </vt:variant>
      <vt:variant>
        <vt:i4>14</vt:i4>
      </vt:variant>
      <vt:variant>
        <vt:i4>0</vt:i4>
      </vt:variant>
      <vt:variant>
        <vt:i4>5</vt:i4>
      </vt:variant>
      <vt:variant>
        <vt:lpwstr/>
      </vt:variant>
      <vt:variant>
        <vt:lpwstr>_Toc157524808</vt:lpwstr>
      </vt:variant>
      <vt:variant>
        <vt:i4>1245244</vt:i4>
      </vt:variant>
      <vt:variant>
        <vt:i4>8</vt:i4>
      </vt:variant>
      <vt:variant>
        <vt:i4>0</vt:i4>
      </vt:variant>
      <vt:variant>
        <vt:i4>5</vt:i4>
      </vt:variant>
      <vt:variant>
        <vt:lpwstr/>
      </vt:variant>
      <vt:variant>
        <vt:lpwstr>_Toc157524807</vt:lpwstr>
      </vt:variant>
      <vt:variant>
        <vt:i4>1245244</vt:i4>
      </vt:variant>
      <vt:variant>
        <vt:i4>2</vt:i4>
      </vt:variant>
      <vt:variant>
        <vt:i4>0</vt:i4>
      </vt:variant>
      <vt:variant>
        <vt:i4>5</vt:i4>
      </vt:variant>
      <vt:variant>
        <vt:lpwstr/>
      </vt:variant>
      <vt:variant>
        <vt:lpwstr>_Toc157524806</vt:lpwstr>
      </vt:variant>
      <vt:variant>
        <vt:i4>1966154</vt:i4>
      </vt:variant>
      <vt:variant>
        <vt:i4>18</vt:i4>
      </vt:variant>
      <vt:variant>
        <vt:i4>0</vt:i4>
      </vt:variant>
      <vt:variant>
        <vt:i4>5</vt:i4>
      </vt:variant>
      <vt:variant>
        <vt:lpwstr>https://www.ncbi.nlm.nih.gov/pmc/articles/PMC9978692/</vt:lpwstr>
      </vt:variant>
      <vt:variant>
        <vt:lpwstr/>
      </vt:variant>
      <vt:variant>
        <vt:i4>6357107</vt:i4>
      </vt:variant>
      <vt:variant>
        <vt:i4>15</vt:i4>
      </vt:variant>
      <vt:variant>
        <vt:i4>0</vt:i4>
      </vt:variant>
      <vt:variant>
        <vt:i4>5</vt:i4>
      </vt:variant>
      <vt:variant>
        <vt:lpwstr>https://www.sciencedirect.com/science/article/pii/S0264410X23001342</vt:lpwstr>
      </vt:variant>
      <vt:variant>
        <vt:lpwstr>s0065</vt:lpwstr>
      </vt:variant>
      <vt:variant>
        <vt:i4>393235</vt:i4>
      </vt:variant>
      <vt:variant>
        <vt:i4>12</vt:i4>
      </vt:variant>
      <vt:variant>
        <vt:i4>0</vt:i4>
      </vt:variant>
      <vt:variant>
        <vt:i4>5</vt:i4>
      </vt:variant>
      <vt:variant>
        <vt:lpwstr>https://www.cambridge.org/core/journals/infection-control-and-hospital-epidemiology/article/abs/risk-factors-for-long-coronavirus-disease-2019-long-covid-among-healthcare-personnel-brazil-20202022/AA01F17E1C8A33C07457914E63AB3EEE</vt:lpwstr>
      </vt:variant>
      <vt:variant>
        <vt:lpwstr/>
      </vt:variant>
      <vt:variant>
        <vt:i4>7602291</vt:i4>
      </vt:variant>
      <vt:variant>
        <vt:i4>9</vt:i4>
      </vt:variant>
      <vt:variant>
        <vt:i4>0</vt:i4>
      </vt:variant>
      <vt:variant>
        <vt:i4>5</vt:i4>
      </vt:variant>
      <vt:variant>
        <vt:lpwstr>https://www.sciencedirect.com/science/article/pii/S0140673622009412?via%3Dihub</vt:lpwstr>
      </vt:variant>
      <vt:variant>
        <vt:lpwstr/>
      </vt:variant>
      <vt:variant>
        <vt:i4>3932266</vt:i4>
      </vt:variant>
      <vt:variant>
        <vt:i4>6</vt:i4>
      </vt:variant>
      <vt:variant>
        <vt:i4>0</vt:i4>
      </vt:variant>
      <vt:variant>
        <vt:i4>5</vt:i4>
      </vt:variant>
      <vt:variant>
        <vt:lpwstr>https://healthgov.sharepoint.com/sites/teamsandprojects/PHFP/Shared Documents/Long COVID - MSAU &amp; Public Health/Inquiry Public Hearing - 17 February/Working drafts/Impact of COVID-19 vaccination on the risk of developing long-COVID and on existing long-COVID symptoms: A systematic review</vt:lpwstr>
      </vt:variant>
      <vt:variant>
        <vt:lpwstr/>
      </vt:variant>
      <vt:variant>
        <vt:i4>4456537</vt:i4>
      </vt:variant>
      <vt:variant>
        <vt:i4>3</vt:i4>
      </vt:variant>
      <vt:variant>
        <vt:i4>0</vt:i4>
      </vt:variant>
      <vt:variant>
        <vt:i4>5</vt:i4>
      </vt:variant>
      <vt:variant>
        <vt:lpwstr>https://www.thelancet.com/article/S1473-3099(21)00460-6/fulltext</vt:lpwstr>
      </vt:variant>
      <vt:variant>
        <vt:lpwstr/>
      </vt:variant>
      <vt:variant>
        <vt:i4>4063349</vt:i4>
      </vt:variant>
      <vt:variant>
        <vt:i4>0</vt:i4>
      </vt:variant>
      <vt:variant>
        <vt:i4>0</vt:i4>
      </vt:variant>
      <vt:variant>
        <vt:i4>5</vt:i4>
      </vt:variant>
      <vt:variant>
        <vt:lpwstr>https://www.aihw.gov.au/reports/covid-19/long-covid-in-australia-a-review-of-the-literature/summary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Post-Acute Sequelae of COVID-19 Plan</dc:title>
  <dc:subject>COVID-19; Australian Government response</dc:subject>
  <dc:creator>Australian Government Department of Health and Aged Care</dc:creator>
  <cp:keywords>long COVID; Australian Government response</cp:keywords>
  <dc:description/>
  <cp:lastModifiedBy>MASCHKE, Elvia</cp:lastModifiedBy>
  <cp:revision>19</cp:revision>
  <dcterms:created xsi:type="dcterms:W3CDTF">2024-02-02T01:25:00Z</dcterms:created>
  <dcterms:modified xsi:type="dcterms:W3CDTF">2024-02-02T02:09:00Z</dcterms:modified>
</cp:coreProperties>
</file>