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DF1880" w:rsidRDefault="00B254A9" w:rsidP="00DF1880">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DF1880">
        <w:t>National Communicable Diseases Surveillance Report</w:t>
      </w:r>
    </w:p>
    <w:p w14:paraId="6F25C8A4" w14:textId="16932492" w:rsidR="00807835" w:rsidRPr="00DF1880" w:rsidRDefault="00807835" w:rsidP="00DF1880">
      <w:pPr>
        <w:pStyle w:val="Title"/>
      </w:pPr>
      <w:r w:rsidRPr="00DF1880">
        <w:t xml:space="preserve">Fortnight </w:t>
      </w:r>
      <w:r w:rsidR="006A65C0" w:rsidRPr="00DF1880">
        <w:t>0</w:t>
      </w:r>
      <w:r w:rsidR="0064269D" w:rsidRPr="00DF1880">
        <w:t>2</w:t>
      </w:r>
      <w:r w:rsidR="00F816D5" w:rsidRPr="00DF1880">
        <w:t>,</w:t>
      </w:r>
      <w:r w:rsidR="003D48B5" w:rsidRPr="00DF1880">
        <w:t xml:space="preserve"> </w:t>
      </w:r>
      <w:r w:rsidR="00924FC7" w:rsidRPr="00DF1880">
        <w:t>202</w:t>
      </w:r>
      <w:r w:rsidR="006A65C0" w:rsidRPr="00DF1880">
        <w:t>4</w:t>
      </w:r>
      <w:r w:rsidR="00031B33" w:rsidRPr="00DF1880">
        <w:t xml:space="preserve"> </w:t>
      </w:r>
      <w:r w:rsidRPr="00DF1880">
        <w:t>Summary Notes</w:t>
      </w:r>
      <w:r w:rsidR="00EB26EC" w:rsidRPr="00DF1880">
        <w:t xml:space="preserve"> for Selected Diseases</w:t>
      </w:r>
    </w:p>
    <w:p w14:paraId="178F241B" w14:textId="69B709A5" w:rsidR="00807835" w:rsidRPr="00DF1880" w:rsidRDefault="0064269D" w:rsidP="00DF1880">
      <w:pPr>
        <w:pStyle w:val="Title"/>
      </w:pPr>
      <w:r w:rsidRPr="00DF1880">
        <w:t>08</w:t>
      </w:r>
      <w:r w:rsidR="002F1D15" w:rsidRPr="00DF1880">
        <w:t xml:space="preserve"> </w:t>
      </w:r>
      <w:r w:rsidRPr="00DF1880">
        <w:t>January</w:t>
      </w:r>
      <w:r w:rsidR="00433EB5" w:rsidRPr="00DF1880">
        <w:t xml:space="preserve"> </w:t>
      </w:r>
      <w:r w:rsidR="00082C5E" w:rsidRPr="00DF1880">
        <w:t>202</w:t>
      </w:r>
      <w:r w:rsidRPr="00DF1880">
        <w:t>4</w:t>
      </w:r>
      <w:r w:rsidR="0082527C" w:rsidRPr="00DF1880">
        <w:t xml:space="preserve"> </w:t>
      </w:r>
      <w:r w:rsidR="00CA37B4" w:rsidRPr="00DF1880">
        <w:t xml:space="preserve">to </w:t>
      </w:r>
      <w:r w:rsidRPr="00DF1880">
        <w:t>21</w:t>
      </w:r>
      <w:r w:rsidR="00A97013" w:rsidRPr="00DF1880">
        <w:t xml:space="preserve"> </w:t>
      </w:r>
      <w:r w:rsidR="006A65C0" w:rsidRPr="00DF1880">
        <w:t>January</w:t>
      </w:r>
      <w:r w:rsidR="00924FC7" w:rsidRPr="00DF1880">
        <w:t xml:space="preserve"> 202</w:t>
      </w:r>
      <w:r w:rsidR="006A65C0" w:rsidRPr="00DF1880">
        <w:t>4</w:t>
      </w:r>
    </w:p>
    <w:bookmarkEnd w:id="0"/>
    <w:bookmarkEnd w:id="1"/>
    <w:bookmarkEnd w:id="2"/>
    <w:p w14:paraId="6638CA80" w14:textId="76E2442F" w:rsidR="008468D5" w:rsidRPr="00DF1880" w:rsidRDefault="008468D5" w:rsidP="00DF1880">
      <w:pPr>
        <w:pStyle w:val="Heading1"/>
      </w:pPr>
      <w:r w:rsidRPr="00DF1880">
        <w:t>Influenza</w:t>
      </w:r>
    </w:p>
    <w:p w14:paraId="098CDCCB" w14:textId="26CD48E6" w:rsidR="006A65C0" w:rsidRPr="00DF1880" w:rsidRDefault="006A65C0" w:rsidP="00DF1880">
      <w:r w:rsidRPr="00DF1880">
        <w:t xml:space="preserve">Nationally, notifications of laboratory-confirmed influenza are currently higher than expected for the </w:t>
      </w:r>
      <w:proofErr w:type="spellStart"/>
      <w:r w:rsidRPr="00DF1880">
        <w:t>interseasonal</w:t>
      </w:r>
      <w:proofErr w:type="spellEnd"/>
      <w:r w:rsidRPr="00DF1880">
        <w:t xml:space="preserve"> period (November to March) and for the reporting period are almost </w:t>
      </w:r>
      <w:r w:rsidR="0064269D" w:rsidRPr="00DF1880">
        <w:t>2</w:t>
      </w:r>
      <w:r w:rsidRPr="00DF1880">
        <w:t xml:space="preserve"> times greater than for the same </w:t>
      </w:r>
      <w:proofErr w:type="gramStart"/>
      <w:r w:rsidRPr="00DF1880">
        <w:t>time period</w:t>
      </w:r>
      <w:proofErr w:type="gramEnd"/>
      <w:r w:rsidRPr="00DF1880">
        <w:t xml:space="preserve"> last year (n=</w:t>
      </w:r>
      <w:r w:rsidR="0064269D" w:rsidRPr="00DF1880">
        <w:t>1</w:t>
      </w:r>
      <w:r w:rsidRPr="00DF1880">
        <w:t>,9</w:t>
      </w:r>
      <w:r w:rsidR="0064269D" w:rsidRPr="00DF1880">
        <w:t>47</w:t>
      </w:r>
      <w:r w:rsidRPr="00DF1880">
        <w:t xml:space="preserve">).  This may be due to an increase in disease circulation in the community and waning protection from seasonal Influenza vaccinations given at the start of the </w:t>
      </w:r>
      <w:proofErr w:type="gramStart"/>
      <w:r w:rsidRPr="00DF1880">
        <w:t>season, but</w:t>
      </w:r>
      <w:proofErr w:type="gramEnd"/>
      <w:r w:rsidRPr="00DF1880">
        <w:t xml:space="preserve"> may also be impacted by changes in health-seeking behaviour associated with current increases in COVID-19 circulation in many jurisdictions, such as increased testing for respiratory infections.</w:t>
      </w:r>
    </w:p>
    <w:p w14:paraId="3D4F7F9D" w14:textId="77777777" w:rsidR="00ED21CE" w:rsidRPr="00DF1880" w:rsidRDefault="00ED21CE" w:rsidP="00DF1880">
      <w:pPr>
        <w:pStyle w:val="Heading1"/>
      </w:pPr>
      <w:r w:rsidRPr="00DF1880">
        <w:t>Gonococcal infection</w:t>
      </w:r>
    </w:p>
    <w:p w14:paraId="2DDF7005" w14:textId="77777777" w:rsidR="00ED21CE" w:rsidRPr="00DF1880" w:rsidRDefault="00ED21CE" w:rsidP="00ED21CE">
      <w:pPr>
        <w:autoSpaceDE w:val="0"/>
        <w:autoSpaceDN w:val="0"/>
      </w:pPr>
      <w:r w:rsidRPr="00DF1880">
        <w:t>In the past 12 months (22 January 2023 – 21 January 2024), there have been 40,708 cases of gonorrhoea reported to the National Notifiable Diseases Surveillance System (NNDSS), which is 30% higher than the historical five-year mean (n=31,278). In the past 3 months (24 October 2023 – 21 January 2024), 10,510 cases of gonorrhoea have been reported to the NNDSS, which is 41% higher than the historical five-year mean for this period (n=7,469). Increases in antimicrobial resistance (AMR) in gonococcal isolates have also been reported. Further information on AMR surveillance for gonorrhoea is available in the Australian Gonococcal Surveillance Program quarterly and annual reports published in the</w:t>
      </w:r>
      <w:r w:rsidRPr="00DF1880">
        <w:rPr>
          <w:rStyle w:val="Hyperlink"/>
        </w:rPr>
        <w:t xml:space="preserve"> </w:t>
      </w:r>
      <w:hyperlink r:id="rId8" w:history="1">
        <w:r w:rsidRPr="00ED21CE">
          <w:rPr>
            <w:rStyle w:val="Hyperlink"/>
            <w:rFonts w:asciiTheme="minorHAnsi" w:hAnsiTheme="minorHAnsi" w:cstheme="minorHAnsi"/>
            <w:i/>
            <w:iCs/>
          </w:rPr>
          <w:t>Communicable Diseases Intelligence.</w:t>
        </w:r>
      </w:hyperlink>
    </w:p>
    <w:p w14:paraId="6FD93C51" w14:textId="77777777" w:rsidR="00ED21CE" w:rsidRPr="00ED21CE" w:rsidRDefault="00ED21CE" w:rsidP="00DF1880">
      <w:pPr>
        <w:pStyle w:val="Heading1"/>
      </w:pPr>
      <w:r w:rsidRPr="00ED21CE">
        <w:t>Infectious and congenital syphilis</w:t>
      </w:r>
    </w:p>
    <w:p w14:paraId="7BEBDAB8" w14:textId="77777777" w:rsidR="00ED21CE" w:rsidRPr="00DF1880" w:rsidRDefault="00ED21CE" w:rsidP="00DF1880">
      <w:r w:rsidRPr="00DF1880">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232C93F" w14:textId="77777777" w:rsidR="00ED21CE" w:rsidRPr="00DF1880" w:rsidRDefault="00ED21CE" w:rsidP="00DF1880">
      <w:pPr>
        <w:pStyle w:val="Heading2"/>
      </w:pPr>
      <w:r w:rsidRPr="00DF1880">
        <w:t>Syphilis response</w:t>
      </w:r>
    </w:p>
    <w:p w14:paraId="115F27DE" w14:textId="77777777" w:rsidR="00ED21CE" w:rsidRPr="00DF1880" w:rsidRDefault="00ED21CE" w:rsidP="00DF1880">
      <w:r w:rsidRPr="00DF1880">
        <w:t xml:space="preserve">On 23 March 2021, the Australian Health Protection Principal Committee (AHPPC) endorsed the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DF1880">
        <w:t xml:space="preserve"> (Strategic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4AF86A14" w14:textId="77777777" w:rsidR="00ED21CE" w:rsidRPr="00DF1880" w:rsidRDefault="00ED21CE" w:rsidP="00DF1880">
      <w:r w:rsidRPr="00DF1880">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2E341299" w14:textId="742126B9" w:rsidR="00064B2A" w:rsidRPr="00DF1880" w:rsidRDefault="00ED21CE" w:rsidP="00DF1880">
      <w:r w:rsidRPr="00DF1880">
        <w:t xml:space="preserve">For further information on national activities related to syphilis, including </w:t>
      </w:r>
      <w:r w:rsidRPr="00DF1880">
        <w:rPr>
          <w:rStyle w:val="Hyperlink"/>
        </w:rPr>
        <w:t xml:space="preserve">the </w:t>
      </w:r>
      <w:hyperlink r:id="rId10" w:history="1">
        <w:r w:rsidRPr="00ED21CE">
          <w:rPr>
            <w:rStyle w:val="Hyperlink"/>
            <w:i/>
            <w:iCs/>
          </w:rPr>
          <w:t>Don’t fool around with syphilis</w:t>
        </w:r>
      </w:hyperlink>
      <w:r w:rsidRPr="00DF1880">
        <w:t xml:space="preserve"> campaign, refer to the </w:t>
      </w:r>
      <w:hyperlink r:id="rId11" w:history="1">
        <w:r w:rsidRPr="00DF1880">
          <w:rPr>
            <w:rStyle w:val="Hyperlink"/>
          </w:rPr>
          <w:t>Department’s website</w:t>
        </w:r>
      </w:hyperlink>
      <w:r w:rsidRPr="00DF1880">
        <w:rPr>
          <w:rStyle w:val="Hyperlink"/>
        </w:rPr>
        <w:t>.</w:t>
      </w:r>
    </w:p>
    <w:p w14:paraId="15978A89" w14:textId="125FD165" w:rsidR="00C37A92" w:rsidRPr="00DF1880" w:rsidRDefault="00C37A92" w:rsidP="00DF1880">
      <w:pPr>
        <w:pStyle w:val="FootnoteText"/>
      </w:pPr>
      <w:r w:rsidRPr="00DF1880">
        <w:t>Interpretative Notes</w:t>
      </w:r>
    </w:p>
    <w:bookmarkEnd w:id="3"/>
    <w:bookmarkEnd w:id="4"/>
    <w:bookmarkEnd w:id="5"/>
    <w:bookmarkEnd w:id="6"/>
    <w:p w14:paraId="71AA7033" w14:textId="77777777" w:rsidR="00017515" w:rsidRPr="00DF1880" w:rsidRDefault="00017515" w:rsidP="00DF1880">
      <w:pPr>
        <w:pStyle w:val="Footer"/>
      </w:pPr>
      <w:r w:rsidRPr="00DF1880">
        <w:t xml:space="preserve">Selected diseases are chosen each fortnight based on either exceeding two standard deviations from the 90 day and/or </w:t>
      </w:r>
      <w:proofErr w:type="gramStart"/>
      <w:r w:rsidRPr="00DF1880">
        <w:t>365 day</w:t>
      </w:r>
      <w:proofErr w:type="gramEnd"/>
      <w:r w:rsidRPr="00DF1880">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DF1880" w:rsidRDefault="00017515" w:rsidP="00DF1880">
      <w:pPr>
        <w:pStyle w:val="Footer"/>
      </w:pPr>
      <w:r w:rsidRPr="00DF1880">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212A860A" w:rsidR="00017515" w:rsidRPr="00DF1880" w:rsidRDefault="00017515" w:rsidP="00DF1880">
      <w:pPr>
        <w:pStyle w:val="Footer"/>
      </w:pPr>
      <w:r w:rsidRPr="00DF1880">
        <w:rPr>
          <w:rStyle w:val="SuperscriptChar"/>
        </w:rPr>
        <w:t>1</w:t>
      </w:r>
      <w:r w:rsidRPr="00DF1880">
        <w:t>The past quarter (90 day) surveillance period includes the date range (</w:t>
      </w:r>
      <w:r w:rsidR="0064269D" w:rsidRPr="00DF1880">
        <w:t>24</w:t>
      </w:r>
      <w:r w:rsidR="0081611F" w:rsidRPr="00DF1880">
        <w:t>/</w:t>
      </w:r>
      <w:r w:rsidR="006A65C0" w:rsidRPr="00DF1880">
        <w:t>10</w:t>
      </w:r>
      <w:r w:rsidR="0081611F" w:rsidRPr="00DF1880">
        <w:t>/20</w:t>
      </w:r>
      <w:r w:rsidR="007F67BA" w:rsidRPr="00DF1880">
        <w:t>2</w:t>
      </w:r>
      <w:r w:rsidR="00E8363C" w:rsidRPr="00DF1880">
        <w:t>3</w:t>
      </w:r>
      <w:r w:rsidR="0081611F" w:rsidRPr="00DF1880">
        <w:t xml:space="preserve"> to</w:t>
      </w:r>
      <w:r w:rsidR="005F4765" w:rsidRPr="00DF1880">
        <w:t xml:space="preserve"> </w:t>
      </w:r>
      <w:r w:rsidR="0064269D" w:rsidRPr="00DF1880">
        <w:t>21</w:t>
      </w:r>
      <w:r w:rsidR="00270632" w:rsidRPr="00DF1880">
        <w:t>/</w:t>
      </w:r>
      <w:r w:rsidR="006A65C0" w:rsidRPr="00DF1880">
        <w:t>01</w:t>
      </w:r>
      <w:r w:rsidR="009C1059" w:rsidRPr="00DF1880">
        <w:t>/20</w:t>
      </w:r>
      <w:r w:rsidR="006A65C0" w:rsidRPr="00DF1880">
        <w:t>24</w:t>
      </w:r>
      <w:r w:rsidR="00777AAA" w:rsidRPr="00DF1880">
        <w:t>).</w:t>
      </w:r>
    </w:p>
    <w:p w14:paraId="38B56901" w14:textId="4E7EE0D1" w:rsidR="00017515" w:rsidRPr="00DF1880" w:rsidRDefault="00017515" w:rsidP="00DF1880">
      <w:pPr>
        <w:pStyle w:val="Footer"/>
      </w:pPr>
      <w:r w:rsidRPr="00DF1880">
        <w:rPr>
          <w:rStyle w:val="SuperscriptChar"/>
        </w:rPr>
        <w:lastRenderedPageBreak/>
        <w:t>2</w:t>
      </w:r>
      <w:r w:rsidRPr="00DF1880">
        <w:t xml:space="preserve">The quarterly (90 day) five year rolling mean is the average </w:t>
      </w:r>
      <w:r w:rsidR="00D26EE8" w:rsidRPr="00DF1880">
        <w:t>of</w:t>
      </w:r>
      <w:r w:rsidR="00CA37B4" w:rsidRPr="00DF1880">
        <w:t xml:space="preserve"> 5 intervals of 90 days up to</w:t>
      </w:r>
      <w:r w:rsidR="003603F7" w:rsidRPr="00DF1880">
        <w:t xml:space="preserve"> </w:t>
      </w:r>
      <w:r w:rsidR="0064269D" w:rsidRPr="00DF1880">
        <w:t>21</w:t>
      </w:r>
      <w:r w:rsidR="00270632" w:rsidRPr="00DF1880">
        <w:t>/</w:t>
      </w:r>
      <w:r w:rsidR="006A65C0" w:rsidRPr="00DF1880">
        <w:t>01</w:t>
      </w:r>
      <w:r w:rsidR="00735187" w:rsidRPr="00DF1880">
        <w:t>/202</w:t>
      </w:r>
      <w:r w:rsidR="006A65C0" w:rsidRPr="00DF1880">
        <w:t>4</w:t>
      </w:r>
      <w:r w:rsidRPr="00DF1880">
        <w:t xml:space="preserve">.  The ratio is the notification activity in the past quarter (90 days) compared with the </w:t>
      </w:r>
      <w:proofErr w:type="gramStart"/>
      <w:r w:rsidRPr="00DF1880">
        <w:t>five year</w:t>
      </w:r>
      <w:proofErr w:type="gramEnd"/>
      <w:r w:rsidRPr="00DF1880">
        <w:t xml:space="preserve"> rolling mean for the same period.</w:t>
      </w:r>
    </w:p>
    <w:p w14:paraId="228A0A61" w14:textId="4AD38DD6" w:rsidR="00017515" w:rsidRPr="00DF1880" w:rsidRDefault="00017515" w:rsidP="00DF1880">
      <w:pPr>
        <w:pStyle w:val="Footer"/>
      </w:pPr>
      <w:r w:rsidRPr="00DF1880">
        <w:rPr>
          <w:rStyle w:val="SuperscriptChar"/>
        </w:rPr>
        <w:t>3</w:t>
      </w:r>
      <w:r w:rsidRPr="00DF1880">
        <w:t xml:space="preserve">The past year (365 day) surveillance period includes the date range </w:t>
      </w:r>
      <w:r w:rsidR="002C38A0" w:rsidRPr="00DF1880">
        <w:t>(</w:t>
      </w:r>
      <w:r w:rsidR="0064269D" w:rsidRPr="00DF1880">
        <w:t>22</w:t>
      </w:r>
      <w:r w:rsidR="00421F52" w:rsidRPr="00DF1880">
        <w:t>/</w:t>
      </w:r>
      <w:r w:rsidR="006A65C0" w:rsidRPr="00DF1880">
        <w:t>01</w:t>
      </w:r>
      <w:r w:rsidR="00421F52" w:rsidRPr="00DF1880">
        <w:t>/</w:t>
      </w:r>
      <w:r w:rsidR="009C1059" w:rsidRPr="00DF1880">
        <w:t>202</w:t>
      </w:r>
      <w:r w:rsidR="006A65C0" w:rsidRPr="00DF1880">
        <w:t>3</w:t>
      </w:r>
      <w:r w:rsidR="00493076" w:rsidRPr="00DF1880">
        <w:t xml:space="preserve"> to</w:t>
      </w:r>
      <w:r w:rsidR="00EA74EE" w:rsidRPr="00DF1880">
        <w:t xml:space="preserve"> </w:t>
      </w:r>
      <w:r w:rsidR="0064269D" w:rsidRPr="00DF1880">
        <w:t>21</w:t>
      </w:r>
      <w:r w:rsidR="00270632" w:rsidRPr="00DF1880">
        <w:t>/</w:t>
      </w:r>
      <w:r w:rsidR="006A65C0" w:rsidRPr="00DF1880">
        <w:t>01</w:t>
      </w:r>
      <w:r w:rsidR="009C1059" w:rsidRPr="00DF1880">
        <w:t>/202</w:t>
      </w:r>
      <w:r w:rsidR="006A65C0" w:rsidRPr="00DF1880">
        <w:t>4</w:t>
      </w:r>
      <w:r w:rsidR="002C38A0" w:rsidRPr="00DF1880">
        <w:t>).</w:t>
      </w:r>
    </w:p>
    <w:p w14:paraId="24BCFBDD" w14:textId="06C473A3" w:rsidR="00017515" w:rsidRPr="00DF1880" w:rsidRDefault="00017515" w:rsidP="00DF1880">
      <w:pPr>
        <w:pStyle w:val="Footer"/>
      </w:pPr>
      <w:r w:rsidRPr="00DF1880">
        <w:rPr>
          <w:rStyle w:val="SuperscriptChar"/>
        </w:rPr>
        <w:t>4</w:t>
      </w:r>
      <w:r w:rsidRPr="00DF1880">
        <w:t>The yearly (365 day) five year rolling mean is the average o</w:t>
      </w:r>
      <w:r w:rsidR="007F67BA" w:rsidRPr="00DF1880">
        <w:t xml:space="preserve">f </w:t>
      </w:r>
      <w:r w:rsidR="00CA37B4" w:rsidRPr="00DF1880">
        <w:t>5 intervals of 365 days up to</w:t>
      </w:r>
      <w:r w:rsidR="00A13BC6" w:rsidRPr="00DF1880">
        <w:t xml:space="preserve"> </w:t>
      </w:r>
      <w:r w:rsidR="0064269D" w:rsidRPr="00DF1880">
        <w:t>21</w:t>
      </w:r>
      <w:r w:rsidR="00854ED5" w:rsidRPr="00DF1880">
        <w:t>/</w:t>
      </w:r>
      <w:r w:rsidR="006A65C0" w:rsidRPr="00DF1880">
        <w:t>01</w:t>
      </w:r>
      <w:r w:rsidR="0071646F" w:rsidRPr="00DF1880">
        <w:t>/</w:t>
      </w:r>
      <w:r w:rsidR="00735187" w:rsidRPr="00DF1880">
        <w:t>202</w:t>
      </w:r>
      <w:r w:rsidR="006A65C0" w:rsidRPr="00DF1880">
        <w:t>4</w:t>
      </w:r>
      <w:r w:rsidR="002C38A0" w:rsidRPr="00DF1880">
        <w:t>.</w:t>
      </w:r>
      <w:r w:rsidR="00777AAA" w:rsidRPr="00DF1880">
        <w:t xml:space="preserve"> </w:t>
      </w:r>
      <w:r w:rsidRPr="00DF1880">
        <w:t xml:space="preserve">The ratio is the notification activity in the past year (365 days) compared with the </w:t>
      </w:r>
      <w:proofErr w:type="gramStart"/>
      <w:r w:rsidRPr="00DF1880">
        <w:t>five year</w:t>
      </w:r>
      <w:proofErr w:type="gramEnd"/>
      <w:r w:rsidRPr="00DF1880">
        <w:t xml:space="preserve"> rolling mean for the same period.</w:t>
      </w:r>
    </w:p>
    <w:p w14:paraId="011711D9" w14:textId="3B29F4D6" w:rsidR="00745E0F" w:rsidRPr="00DF1880" w:rsidRDefault="00017515" w:rsidP="00DF1880">
      <w:pPr>
        <w:pStyle w:val="Footer"/>
      </w:pPr>
      <w:r w:rsidRPr="00DF1880">
        <w:t xml:space="preserve">The </w:t>
      </w:r>
      <w:proofErr w:type="gramStart"/>
      <w:r w:rsidRPr="00DF1880">
        <w:t>five year</w:t>
      </w:r>
      <w:proofErr w:type="gramEnd"/>
      <w:r w:rsidRPr="00DF1880">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DF1880">
        <w:t>five year</w:t>
      </w:r>
      <w:proofErr w:type="gramEnd"/>
      <w:r w:rsidRPr="00DF1880">
        <w:t xml:space="preserve"> period. Ratios are to be taken as a crude measure of current disease activity and may reflect changes in reporting rather than changes in disease activity.</w:t>
      </w:r>
    </w:p>
    <w:sectPr w:rsidR="00745E0F" w:rsidRPr="00DF1880"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1880"/>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880"/>
    <w:pPr>
      <w:spacing w:before="120" w:after="120"/>
    </w:pPr>
    <w:rPr>
      <w:rFonts w:ascii="Calibri" w:hAnsi="Calibri"/>
      <w:sz w:val="24"/>
      <w:szCs w:val="24"/>
    </w:rPr>
  </w:style>
  <w:style w:type="paragraph" w:styleId="Heading1">
    <w:name w:val="heading 1"/>
    <w:basedOn w:val="Normal"/>
    <w:next w:val="Normal"/>
    <w:qFormat/>
    <w:rsid w:val="00DF1880"/>
    <w:pPr>
      <w:keepNext/>
      <w:outlineLvl w:val="0"/>
    </w:pPr>
    <w:rPr>
      <w:rFonts w:cs="Arial"/>
      <w:b/>
      <w:bCs/>
      <w:color w:val="000000"/>
      <w:sz w:val="22"/>
      <w:szCs w:val="22"/>
    </w:rPr>
  </w:style>
  <w:style w:type="paragraph" w:styleId="Heading2">
    <w:name w:val="heading 2"/>
    <w:basedOn w:val="Heading1"/>
    <w:next w:val="Normal"/>
    <w:link w:val="Heading2Char"/>
    <w:unhideWhenUsed/>
    <w:qFormat/>
    <w:rsid w:val="00DF1880"/>
    <w:pPr>
      <w:outlineLvl w:val="1"/>
    </w:pPr>
    <w:rPr>
      <w:rFonts w:eastAsiaTheme="majorEastAsia" w:cstheme="majorBidi"/>
      <w:b w:val="0"/>
      <w:bCs w:val="0"/>
      <w:iCs/>
      <w:color w:val="595959" w:themeColor="text1" w:themeTint="A6"/>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link w:val="FooterChar"/>
    <w:rsid w:val="00DF1880"/>
    <w:pPr>
      <w:tabs>
        <w:tab w:val="center" w:pos="4153"/>
        <w:tab w:val="right" w:pos="8306"/>
      </w:tabs>
    </w:pPr>
    <w:rPr>
      <w:sz w:val="18"/>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DF1880"/>
    <w:rPr>
      <w:rFonts w:ascii="Calibri" w:eastAsiaTheme="majorEastAsia" w:hAnsi="Calibri" w:cstheme="majorBidi"/>
      <w:iCs/>
      <w:color w:val="595959" w:themeColor="text1" w:themeTint="A6"/>
      <w:sz w:val="22"/>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eastAsiaTheme="minorHAnsi" w:cs="Calibri"/>
      <w:sz w:val="22"/>
      <w:szCs w:val="22"/>
    </w:rPr>
  </w:style>
  <w:style w:type="character" w:customStyle="1" w:styleId="contentpasted0">
    <w:name w:val="contentpasted0"/>
    <w:basedOn w:val="DefaultParagraphFont"/>
    <w:rsid w:val="007E5662"/>
  </w:style>
  <w:style w:type="paragraph" w:styleId="Title">
    <w:name w:val="Title"/>
    <w:next w:val="Normal"/>
    <w:link w:val="TitleChar"/>
    <w:qFormat/>
    <w:rsid w:val="00DF1880"/>
    <w:pPr>
      <w:keepNext/>
      <w:spacing w:before="120"/>
      <w:jc w:val="center"/>
    </w:pPr>
    <w:rPr>
      <w:rFonts w:ascii="Calibri" w:eastAsiaTheme="majorEastAsia" w:hAnsi="Calibri" w:cstheme="majorBidi"/>
      <w:b/>
      <w:spacing w:val="-10"/>
      <w:kern w:val="28"/>
      <w:sz w:val="24"/>
      <w:szCs w:val="56"/>
    </w:rPr>
  </w:style>
  <w:style w:type="character" w:customStyle="1" w:styleId="TitleChar">
    <w:name w:val="Title Char"/>
    <w:basedOn w:val="DefaultParagraphFont"/>
    <w:link w:val="Title"/>
    <w:rsid w:val="00DF1880"/>
    <w:rPr>
      <w:rFonts w:ascii="Calibri" w:eastAsiaTheme="majorEastAsia" w:hAnsi="Calibri" w:cstheme="majorBidi"/>
      <w:b/>
      <w:spacing w:val="-10"/>
      <w:kern w:val="28"/>
      <w:sz w:val="24"/>
      <w:szCs w:val="56"/>
    </w:rPr>
  </w:style>
  <w:style w:type="paragraph" w:styleId="FootnoteText">
    <w:name w:val="footnote text"/>
    <w:basedOn w:val="Normal"/>
    <w:link w:val="FootnoteTextChar"/>
    <w:unhideWhenUsed/>
    <w:rsid w:val="00DF1880"/>
    <w:rPr>
      <w:b/>
      <w:sz w:val="20"/>
      <w:szCs w:val="20"/>
    </w:rPr>
  </w:style>
  <w:style w:type="character" w:customStyle="1" w:styleId="FootnoteTextChar">
    <w:name w:val="Footnote Text Char"/>
    <w:basedOn w:val="DefaultParagraphFont"/>
    <w:link w:val="FootnoteText"/>
    <w:rsid w:val="00DF1880"/>
    <w:rPr>
      <w:rFonts w:ascii="Calibri" w:hAnsi="Calibri"/>
      <w:b/>
    </w:rPr>
  </w:style>
  <w:style w:type="paragraph" w:customStyle="1" w:styleId="Superscript">
    <w:name w:val="Superscript"/>
    <w:basedOn w:val="Footer"/>
    <w:link w:val="SuperscriptChar"/>
    <w:qFormat/>
    <w:rsid w:val="00DF1880"/>
    <w:rPr>
      <w:vertAlign w:val="superscript"/>
    </w:rPr>
  </w:style>
  <w:style w:type="character" w:customStyle="1" w:styleId="FooterChar">
    <w:name w:val="Footer Char"/>
    <w:basedOn w:val="DefaultParagraphFont"/>
    <w:link w:val="Footer"/>
    <w:rsid w:val="00DF1880"/>
    <w:rPr>
      <w:rFonts w:ascii="Calibri" w:hAnsi="Calibri"/>
      <w:sz w:val="18"/>
      <w:szCs w:val="24"/>
    </w:rPr>
  </w:style>
  <w:style w:type="character" w:customStyle="1" w:styleId="SuperscriptChar">
    <w:name w:val="Superscript Char"/>
    <w:basedOn w:val="FooterChar"/>
    <w:link w:val="Superscript"/>
    <w:rsid w:val="00DF1880"/>
    <w:rPr>
      <w:rFonts w:ascii="Calibri" w:hAnsi="Calibri"/>
      <w:sz w:val="18"/>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cda-cdi-aim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5069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02 January to 29 January 2024</dc:title>
  <dc:subject>Communicable Diseases</dc:subject>
  <dc:creator>Australian Government Department of Health and Aged Care</dc:creator>
  <cp:keywords>Communicable Diseases; National Notifiable Diseases Surveillance System (NNDSS)</cp:keywords>
  <cp:lastModifiedBy>MASCHKE, Elvia</cp:lastModifiedBy>
  <cp:revision>2</cp:revision>
  <cp:lastPrinted>2021-04-13T23:49:00Z</cp:lastPrinted>
  <dcterms:created xsi:type="dcterms:W3CDTF">2024-02-12T11:57:00Z</dcterms:created>
  <dcterms:modified xsi:type="dcterms:W3CDTF">2024-02-12T11:57:00Z</dcterms:modified>
</cp:coreProperties>
</file>