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B07D" w14:textId="61D13940" w:rsidR="002C341A" w:rsidRDefault="002C341A" w:rsidP="002C341A">
      <w:pPr>
        <w:pStyle w:val="Title"/>
        <w:rPr>
          <w:b/>
          <w:sz w:val="28"/>
          <w:szCs w:val="28"/>
        </w:rPr>
      </w:pPr>
      <w:r>
        <w:rPr>
          <w:noProof/>
          <w:lang w:eastAsia="en-AU"/>
        </w:rPr>
        <w:drawing>
          <wp:inline distT="0" distB="0" distL="0" distR="0" wp14:anchorId="7022FF05" wp14:editId="099E66C5">
            <wp:extent cx="2511376" cy="74929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539684" cy="757741"/>
                    </a:xfrm>
                    <a:prstGeom prst="rect">
                      <a:avLst/>
                    </a:prstGeom>
                    <a:noFill/>
                    <a:ln>
                      <a:noFill/>
                    </a:ln>
                  </pic:spPr>
                </pic:pic>
              </a:graphicData>
            </a:graphic>
          </wp:inline>
        </w:drawing>
      </w:r>
    </w:p>
    <w:p w14:paraId="7F5075A9" w14:textId="77777777" w:rsidR="002C341A" w:rsidRPr="00DE0186" w:rsidRDefault="002C341A" w:rsidP="002C341A">
      <w:pPr>
        <w:pStyle w:val="Paragraphtext"/>
      </w:pPr>
      <w:r>
        <w:rPr>
          <w:rFonts w:cs="Arial"/>
          <w:noProof/>
          <w:color w:val="1F497D"/>
          <w:sz w:val="20"/>
          <w:szCs w:val="20"/>
          <w:lang w:eastAsia="en-AU"/>
        </w:rPr>
        <w:drawing>
          <wp:inline distT="0" distB="0" distL="0" distR="0" wp14:anchorId="1CD94219" wp14:editId="55C98B34">
            <wp:extent cx="5759450" cy="119864"/>
            <wp:effectExtent l="0" t="0" r="0" b="0"/>
            <wp:docPr id="3" name="Picture 3" descr="cid:image003.png@01D51610.1D98D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1610.1D98D2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59450" cy="119864"/>
                    </a:xfrm>
                    <a:prstGeom prst="rect">
                      <a:avLst/>
                    </a:prstGeom>
                    <a:noFill/>
                    <a:ln>
                      <a:noFill/>
                    </a:ln>
                  </pic:spPr>
                </pic:pic>
              </a:graphicData>
            </a:graphic>
          </wp:inline>
        </w:drawing>
      </w:r>
    </w:p>
    <w:p w14:paraId="4FF76304" w14:textId="12F33D2F" w:rsidR="002C341A" w:rsidRPr="008733C0" w:rsidRDefault="002C341A" w:rsidP="00B10CC5">
      <w:pPr>
        <w:pStyle w:val="Title"/>
        <w:spacing w:before="360" w:line="276" w:lineRule="auto"/>
        <w:contextualSpacing w:val="0"/>
        <w:rPr>
          <w:b/>
          <w:sz w:val="36"/>
          <w:szCs w:val="36"/>
        </w:rPr>
      </w:pPr>
      <w:r w:rsidRPr="008733C0">
        <w:rPr>
          <w:b/>
          <w:sz w:val="36"/>
          <w:szCs w:val="36"/>
        </w:rPr>
        <w:t xml:space="preserve">National Clinical Quality Registry Program </w:t>
      </w:r>
    </w:p>
    <w:p w14:paraId="609E6B6A" w14:textId="77777777" w:rsidR="002C341A" w:rsidRPr="008733C0" w:rsidRDefault="002C341A" w:rsidP="008733C0">
      <w:pPr>
        <w:pStyle w:val="Title"/>
        <w:spacing w:before="120" w:line="276" w:lineRule="auto"/>
        <w:contextualSpacing w:val="0"/>
        <w:rPr>
          <w:b/>
          <w:sz w:val="36"/>
          <w:szCs w:val="36"/>
        </w:rPr>
      </w:pPr>
      <w:r w:rsidRPr="008733C0">
        <w:rPr>
          <w:b/>
          <w:sz w:val="36"/>
          <w:szCs w:val="36"/>
        </w:rPr>
        <w:t>Communique: March 2024</w:t>
      </w:r>
    </w:p>
    <w:p w14:paraId="388BAEFB" w14:textId="69A479A4" w:rsidR="002C341A" w:rsidRDefault="002C341A" w:rsidP="008733C0">
      <w:pPr>
        <w:pStyle w:val="Intropara"/>
        <w:spacing w:before="120" w:after="120" w:line="259" w:lineRule="auto"/>
        <w:rPr>
          <w:rFonts w:cs="Arial"/>
          <w:szCs w:val="22"/>
        </w:rPr>
      </w:pPr>
      <w:r w:rsidRPr="00071634">
        <w:rPr>
          <w:color w:val="auto"/>
          <w:sz w:val="22"/>
          <w:szCs w:val="22"/>
        </w:rPr>
        <w:t xml:space="preserve">The Australian government is </w:t>
      </w:r>
      <w:r>
        <w:rPr>
          <w:color w:val="auto"/>
          <w:sz w:val="22"/>
          <w:szCs w:val="22"/>
        </w:rPr>
        <w:t xml:space="preserve">establishing </w:t>
      </w:r>
      <w:r w:rsidRPr="00071634">
        <w:rPr>
          <w:color w:val="auto"/>
          <w:sz w:val="22"/>
          <w:szCs w:val="22"/>
        </w:rPr>
        <w:t xml:space="preserve">a National Clinical Quality Registry Program (the Program). The purpose of the Program is to improve the quality of health care and ensure better health outcomes for Australian patients. It is designed to reflect the key priorities of the </w:t>
      </w:r>
      <w:hyperlink r:id="rId10" w:history="1">
        <w:r w:rsidRPr="00BC55AD">
          <w:rPr>
            <w:rStyle w:val="Hyperlink"/>
            <w:sz w:val="22"/>
            <w:szCs w:val="22"/>
          </w:rPr>
          <w:t>National Clinical Quality Registry and Virtual Strategy 2020-2030</w:t>
        </w:r>
      </w:hyperlink>
      <w:r w:rsidRPr="00071634">
        <w:rPr>
          <w:color w:val="auto"/>
          <w:sz w:val="22"/>
          <w:szCs w:val="22"/>
        </w:rPr>
        <w:t xml:space="preserve"> (the Strategy).</w:t>
      </w:r>
      <w:r w:rsidRPr="00E36D7C">
        <w:rPr>
          <w:rFonts w:cs="Arial"/>
          <w:szCs w:val="22"/>
        </w:rPr>
        <w:t xml:space="preserve"> </w:t>
      </w:r>
    </w:p>
    <w:p w14:paraId="61C4951E" w14:textId="77777777" w:rsidR="002C341A" w:rsidRDefault="002C341A" w:rsidP="008733C0">
      <w:pPr>
        <w:pStyle w:val="Intropara"/>
        <w:spacing w:before="120" w:after="120" w:line="259" w:lineRule="auto"/>
        <w:rPr>
          <w:color w:val="auto"/>
          <w:sz w:val="22"/>
          <w:szCs w:val="22"/>
        </w:rPr>
      </w:pPr>
      <w:r w:rsidRPr="00253979">
        <w:rPr>
          <w:color w:val="auto"/>
          <w:sz w:val="22"/>
          <w:szCs w:val="22"/>
        </w:rPr>
        <w:t>This</w:t>
      </w:r>
      <w:r>
        <w:rPr>
          <w:color w:val="auto"/>
          <w:sz w:val="22"/>
          <w:szCs w:val="22"/>
        </w:rPr>
        <w:t xml:space="preserve"> is</w:t>
      </w:r>
      <w:r w:rsidRPr="00253979">
        <w:rPr>
          <w:color w:val="auto"/>
          <w:sz w:val="22"/>
          <w:szCs w:val="22"/>
        </w:rPr>
        <w:t xml:space="preserve"> </w:t>
      </w:r>
      <w:r>
        <w:rPr>
          <w:color w:val="auto"/>
          <w:sz w:val="22"/>
          <w:szCs w:val="22"/>
        </w:rPr>
        <w:t xml:space="preserve">the second </w:t>
      </w:r>
      <w:r w:rsidRPr="00253979">
        <w:rPr>
          <w:color w:val="auto"/>
          <w:sz w:val="22"/>
          <w:szCs w:val="22"/>
        </w:rPr>
        <w:t xml:space="preserve">communique </w:t>
      </w:r>
      <w:r>
        <w:rPr>
          <w:color w:val="auto"/>
          <w:sz w:val="22"/>
          <w:szCs w:val="22"/>
        </w:rPr>
        <w:t xml:space="preserve">providing updates on the Program. Further details can be found on the Department’s </w:t>
      </w:r>
      <w:bookmarkStart w:id="0" w:name="_Hlk143503902"/>
      <w:r>
        <w:fldChar w:fldCharType="begin"/>
      </w:r>
      <w:r>
        <w:instrText xml:space="preserve"> HYPERLINK "https://www.health.gov.au/our-work/national-clinical-quality-registry-program?utm_source=health.gov.au&amp;utm_medium=callout-auto-custom&amp;utm_campaign=digital_transformation" </w:instrText>
      </w:r>
      <w:r>
        <w:fldChar w:fldCharType="separate"/>
      </w:r>
      <w:r w:rsidRPr="00BC55AD">
        <w:rPr>
          <w:rStyle w:val="Hyperlink"/>
          <w:sz w:val="22"/>
          <w:szCs w:val="22"/>
        </w:rPr>
        <w:t>website</w:t>
      </w:r>
      <w:r>
        <w:rPr>
          <w:rStyle w:val="Hyperlink"/>
          <w:sz w:val="22"/>
          <w:szCs w:val="22"/>
        </w:rPr>
        <w:fldChar w:fldCharType="end"/>
      </w:r>
      <w:bookmarkEnd w:id="0"/>
      <w:r>
        <w:rPr>
          <w:color w:val="auto"/>
          <w:sz w:val="22"/>
          <w:szCs w:val="22"/>
        </w:rPr>
        <w:t>.</w:t>
      </w:r>
    </w:p>
    <w:p w14:paraId="4D999A1B" w14:textId="5477C248" w:rsidR="002C341A" w:rsidRPr="008733C0" w:rsidRDefault="002C341A" w:rsidP="008733C0">
      <w:pPr>
        <w:pStyle w:val="Heading2"/>
        <w:rPr>
          <w:b/>
          <w:bCs w:val="0"/>
        </w:rPr>
      </w:pPr>
      <w:r w:rsidRPr="008733C0">
        <w:rPr>
          <w:b/>
          <w:bCs w:val="0"/>
        </w:rPr>
        <w:t xml:space="preserve">Upcoming </w:t>
      </w:r>
      <w:r w:rsidR="00F95915">
        <w:rPr>
          <w:b/>
          <w:bCs w:val="0"/>
        </w:rPr>
        <w:t>f</w:t>
      </w:r>
      <w:r w:rsidRPr="008733C0">
        <w:rPr>
          <w:b/>
          <w:bCs w:val="0"/>
        </w:rPr>
        <w:t xml:space="preserve">unding </w:t>
      </w:r>
      <w:bookmarkStart w:id="1" w:name="_Hlk127437867"/>
      <w:r w:rsidR="00F95915">
        <w:rPr>
          <w:b/>
          <w:bCs w:val="0"/>
        </w:rPr>
        <w:t>op</w:t>
      </w:r>
      <w:r w:rsidR="00F95915" w:rsidRPr="008733C0">
        <w:rPr>
          <w:b/>
          <w:bCs w:val="0"/>
        </w:rPr>
        <w:t>portunities</w:t>
      </w:r>
    </w:p>
    <w:p w14:paraId="3F4B4CA1" w14:textId="77777777" w:rsidR="00325D0F" w:rsidRDefault="002C341A" w:rsidP="008733C0">
      <w:pPr>
        <w:spacing w:before="120" w:after="120" w:line="259" w:lineRule="auto"/>
        <w:rPr>
          <w:rFonts w:cs="Arial"/>
          <w:szCs w:val="22"/>
        </w:rPr>
      </w:pPr>
      <w:r>
        <w:rPr>
          <w:rFonts w:cs="Arial"/>
          <w:szCs w:val="22"/>
        </w:rPr>
        <w:t xml:space="preserve">We intend to advertise Stream 1 in </w:t>
      </w:r>
      <w:r w:rsidRPr="003D34D3">
        <w:rPr>
          <w:rFonts w:cs="Arial"/>
          <w:b/>
          <w:bCs/>
          <w:szCs w:val="22"/>
        </w:rPr>
        <w:t>March 2024</w:t>
      </w:r>
      <w:r>
        <w:rPr>
          <w:rFonts w:cs="Arial"/>
          <w:szCs w:val="22"/>
        </w:rPr>
        <w:t xml:space="preserve">. </w:t>
      </w:r>
    </w:p>
    <w:p w14:paraId="10E105A1" w14:textId="56F6B303" w:rsidR="002C341A" w:rsidRDefault="00CA73F4" w:rsidP="008733C0">
      <w:pPr>
        <w:spacing w:before="120" w:after="120" w:line="259" w:lineRule="auto"/>
        <w:rPr>
          <w:rFonts w:cs="Arial"/>
          <w:szCs w:val="22"/>
        </w:rPr>
      </w:pPr>
      <w:r>
        <w:rPr>
          <w:rFonts w:cs="Arial"/>
          <w:szCs w:val="22"/>
        </w:rPr>
        <w:t xml:space="preserve">Stream 1 </w:t>
      </w:r>
      <w:r w:rsidR="00E91D3A" w:rsidRPr="00E91D3A">
        <w:rPr>
          <w:rFonts w:cs="Arial"/>
          <w:szCs w:val="22"/>
        </w:rPr>
        <w:t>will provide</w:t>
      </w:r>
      <w:r w:rsidR="00AB2439">
        <w:rPr>
          <w:rFonts w:cs="Arial"/>
          <w:szCs w:val="22"/>
        </w:rPr>
        <w:t xml:space="preserve"> operational</w:t>
      </w:r>
      <w:r w:rsidR="00E91D3A" w:rsidRPr="00E91D3A">
        <w:rPr>
          <w:rFonts w:cs="Arial"/>
          <w:szCs w:val="22"/>
        </w:rPr>
        <w:t xml:space="preserve"> </w:t>
      </w:r>
      <w:r w:rsidR="0014217F">
        <w:rPr>
          <w:rFonts w:cs="Arial"/>
          <w:szCs w:val="22"/>
        </w:rPr>
        <w:t>funding</w:t>
      </w:r>
      <w:r w:rsidR="00E91D3A" w:rsidRPr="00E91D3A">
        <w:rPr>
          <w:rFonts w:cs="Arial"/>
          <w:szCs w:val="22"/>
        </w:rPr>
        <w:t xml:space="preserve"> support for a small number of </w:t>
      </w:r>
      <w:r w:rsidR="00325D0F">
        <w:rPr>
          <w:rFonts w:cs="Arial"/>
          <w:szCs w:val="22"/>
        </w:rPr>
        <w:t xml:space="preserve">additional </w:t>
      </w:r>
      <w:r w:rsidR="00E91D3A" w:rsidRPr="00E91D3A">
        <w:rPr>
          <w:rFonts w:cs="Arial"/>
          <w:szCs w:val="22"/>
        </w:rPr>
        <w:t>high-priority, national CQRs</w:t>
      </w:r>
      <w:r w:rsidR="00F177D9">
        <w:rPr>
          <w:rFonts w:cs="Arial"/>
          <w:szCs w:val="22"/>
        </w:rPr>
        <w:t>.</w:t>
      </w:r>
      <w:r w:rsidR="008C78D8">
        <w:rPr>
          <w:rFonts w:cs="Arial"/>
          <w:szCs w:val="22"/>
        </w:rPr>
        <w:t xml:space="preserve"> These will be</w:t>
      </w:r>
      <w:r w:rsidR="00B40EA3">
        <w:rPr>
          <w:rFonts w:cs="Arial"/>
          <w:szCs w:val="22"/>
        </w:rPr>
        <w:t xml:space="preserve"> </w:t>
      </w:r>
      <w:r w:rsidR="00E91D3A" w:rsidRPr="00E91D3A">
        <w:rPr>
          <w:rFonts w:cs="Arial"/>
          <w:szCs w:val="22"/>
        </w:rPr>
        <w:t xml:space="preserve">selected via a competitive </w:t>
      </w:r>
      <w:r w:rsidR="00F177D9">
        <w:rPr>
          <w:rFonts w:cs="Arial"/>
          <w:szCs w:val="22"/>
        </w:rPr>
        <w:t xml:space="preserve">application </w:t>
      </w:r>
      <w:r w:rsidR="00E91D3A" w:rsidRPr="00E91D3A">
        <w:rPr>
          <w:rFonts w:cs="Arial"/>
          <w:szCs w:val="22"/>
        </w:rPr>
        <w:t>process</w:t>
      </w:r>
      <w:r w:rsidR="00B409CE">
        <w:rPr>
          <w:rFonts w:cs="Arial"/>
          <w:szCs w:val="22"/>
        </w:rPr>
        <w:t xml:space="preserve"> on AusTender</w:t>
      </w:r>
      <w:r w:rsidR="00E91D3A" w:rsidRPr="00E91D3A">
        <w:rPr>
          <w:rFonts w:cs="Arial"/>
          <w:szCs w:val="22"/>
        </w:rPr>
        <w:t>.</w:t>
      </w:r>
    </w:p>
    <w:p w14:paraId="6EDE1D06" w14:textId="77777777" w:rsidR="008733C0" w:rsidRPr="008733C0" w:rsidRDefault="008733C0" w:rsidP="008733C0">
      <w:pPr>
        <w:spacing w:before="120" w:after="120" w:line="259" w:lineRule="auto"/>
        <w:rPr>
          <w:rFonts w:cs="Arial"/>
          <w:sz w:val="4"/>
          <w:szCs w:val="4"/>
        </w:rPr>
      </w:pPr>
    </w:p>
    <w:p w14:paraId="0DAA3FA5" w14:textId="70E6F7FD" w:rsidR="002C341A" w:rsidRPr="002C341A" w:rsidRDefault="002C341A" w:rsidP="008733C0">
      <w:pPr>
        <w:spacing w:before="120" w:after="120" w:line="259" w:lineRule="auto"/>
        <w:rPr>
          <w:b/>
          <w:bCs/>
          <w:szCs w:val="22"/>
        </w:rPr>
      </w:pPr>
      <w:r w:rsidRPr="00FA62F4">
        <w:rPr>
          <w:b/>
          <w:bCs/>
          <w:szCs w:val="22"/>
        </w:rPr>
        <w:t>How to apply</w:t>
      </w:r>
    </w:p>
    <w:p w14:paraId="5F5E7120" w14:textId="0271F6FE" w:rsidR="00FF5C82" w:rsidRPr="0048732E" w:rsidRDefault="002C341A" w:rsidP="00817F0B">
      <w:pPr>
        <w:spacing w:before="120" w:after="120" w:line="259" w:lineRule="auto"/>
        <w:rPr>
          <w:szCs w:val="22"/>
        </w:rPr>
      </w:pPr>
      <w:r w:rsidRPr="002C341A">
        <w:rPr>
          <w:rFonts w:cs="Arial"/>
          <w:szCs w:val="22"/>
        </w:rPr>
        <w:t xml:space="preserve">Please register </w:t>
      </w:r>
      <w:r w:rsidR="00D707D2">
        <w:rPr>
          <w:rFonts w:cs="Arial"/>
          <w:szCs w:val="22"/>
        </w:rPr>
        <w:t xml:space="preserve">your interest </w:t>
      </w:r>
      <w:r w:rsidRPr="002C341A">
        <w:rPr>
          <w:rFonts w:cs="Arial"/>
          <w:szCs w:val="22"/>
        </w:rPr>
        <w:t>on </w:t>
      </w:r>
      <w:hyperlink r:id="rId11" w:history="1">
        <w:r w:rsidRPr="002C341A">
          <w:rPr>
            <w:rStyle w:val="Hyperlink"/>
            <w:rFonts w:cs="Arial"/>
            <w:szCs w:val="22"/>
          </w:rPr>
          <w:t>AusTender</w:t>
        </w:r>
      </w:hyperlink>
      <w:r w:rsidR="00817F0B">
        <w:rPr>
          <w:rFonts w:cs="Arial"/>
          <w:szCs w:val="22"/>
        </w:rPr>
        <w:t xml:space="preserve"> and </w:t>
      </w:r>
      <w:r w:rsidRPr="002C341A">
        <w:rPr>
          <w:szCs w:val="22"/>
        </w:rPr>
        <w:t>visit the</w:t>
      </w:r>
      <w:r w:rsidR="00857459">
        <w:rPr>
          <w:szCs w:val="22"/>
        </w:rPr>
        <w:t xml:space="preserve"> ‘Apply for funding’ section on</w:t>
      </w:r>
      <w:r w:rsidR="00B814CE">
        <w:rPr>
          <w:szCs w:val="22"/>
        </w:rPr>
        <w:t xml:space="preserve"> our</w:t>
      </w:r>
      <w:r w:rsidR="00857459">
        <w:rPr>
          <w:szCs w:val="22"/>
        </w:rPr>
        <w:t xml:space="preserve"> </w:t>
      </w:r>
      <w:hyperlink r:id="rId12" w:history="1">
        <w:r w:rsidRPr="00BC55AD">
          <w:rPr>
            <w:rStyle w:val="Hyperlink"/>
            <w:szCs w:val="22"/>
          </w:rPr>
          <w:t>website</w:t>
        </w:r>
      </w:hyperlink>
      <w:r w:rsidRPr="00AB7A09">
        <w:rPr>
          <w:szCs w:val="22"/>
        </w:rPr>
        <w:t>.</w:t>
      </w:r>
      <w:r w:rsidR="000534DC">
        <w:rPr>
          <w:szCs w:val="22"/>
        </w:rPr>
        <w:t xml:space="preserve"> </w:t>
      </w:r>
    </w:p>
    <w:p w14:paraId="5B69188F" w14:textId="5543D634" w:rsidR="0056787E" w:rsidRDefault="00CF1D39" w:rsidP="008733C0">
      <w:pPr>
        <w:pStyle w:val="Heading2"/>
        <w:rPr>
          <w:b/>
          <w:bCs w:val="0"/>
        </w:rPr>
      </w:pPr>
      <w:r>
        <w:rPr>
          <w:b/>
          <w:bCs w:val="0"/>
        </w:rPr>
        <w:t xml:space="preserve">New Strategy activities </w:t>
      </w:r>
    </w:p>
    <w:p w14:paraId="0A8146BD" w14:textId="77777777" w:rsidR="00A62BE6" w:rsidRDefault="002B47E1" w:rsidP="005529E7">
      <w:pPr>
        <w:pStyle w:val="Paragraphtext"/>
        <w:spacing w:after="120" w:line="259" w:lineRule="auto"/>
        <w:rPr>
          <w:sz w:val="22"/>
          <w:szCs w:val="22"/>
        </w:rPr>
      </w:pPr>
      <w:r w:rsidRPr="002B47E1">
        <w:rPr>
          <w:sz w:val="22"/>
          <w:szCs w:val="22"/>
        </w:rPr>
        <w:t xml:space="preserve">The Program </w:t>
      </w:r>
      <w:r w:rsidR="007C30DC">
        <w:rPr>
          <w:sz w:val="22"/>
          <w:szCs w:val="22"/>
        </w:rPr>
        <w:t xml:space="preserve">will fund </w:t>
      </w:r>
      <w:r w:rsidR="0014217F">
        <w:rPr>
          <w:sz w:val="22"/>
          <w:szCs w:val="22"/>
        </w:rPr>
        <w:t xml:space="preserve">selected </w:t>
      </w:r>
      <w:r w:rsidRPr="002B47E1">
        <w:rPr>
          <w:sz w:val="22"/>
          <w:szCs w:val="22"/>
        </w:rPr>
        <w:t xml:space="preserve">activities that support </w:t>
      </w:r>
      <w:r w:rsidR="007C30DC">
        <w:rPr>
          <w:sz w:val="22"/>
          <w:szCs w:val="22"/>
        </w:rPr>
        <w:t xml:space="preserve">continued implementation of the </w:t>
      </w:r>
      <w:r w:rsidRPr="002B47E1">
        <w:rPr>
          <w:sz w:val="22"/>
          <w:szCs w:val="22"/>
        </w:rPr>
        <w:t>Strategy.</w:t>
      </w:r>
      <w:r w:rsidR="009B0E0C">
        <w:rPr>
          <w:sz w:val="22"/>
          <w:szCs w:val="22"/>
        </w:rPr>
        <w:t xml:space="preserve"> </w:t>
      </w:r>
    </w:p>
    <w:p w14:paraId="5370974A" w14:textId="5F1F9203" w:rsidR="00995E21" w:rsidRDefault="00B7740F" w:rsidP="005529E7">
      <w:pPr>
        <w:pStyle w:val="Paragraphtext"/>
        <w:spacing w:after="120" w:line="259" w:lineRule="auto"/>
        <w:rPr>
          <w:sz w:val="22"/>
          <w:szCs w:val="22"/>
        </w:rPr>
      </w:pPr>
      <w:r>
        <w:rPr>
          <w:sz w:val="22"/>
          <w:szCs w:val="22"/>
        </w:rPr>
        <w:t xml:space="preserve">Three new </w:t>
      </w:r>
      <w:r w:rsidR="005108EC">
        <w:rPr>
          <w:sz w:val="22"/>
          <w:szCs w:val="22"/>
        </w:rPr>
        <w:t xml:space="preserve">projects </w:t>
      </w:r>
      <w:r w:rsidR="00C14576">
        <w:rPr>
          <w:sz w:val="22"/>
          <w:szCs w:val="22"/>
        </w:rPr>
        <w:t xml:space="preserve">are </w:t>
      </w:r>
      <w:r w:rsidR="005108EC">
        <w:rPr>
          <w:sz w:val="22"/>
          <w:szCs w:val="22"/>
        </w:rPr>
        <w:t>now underway:</w:t>
      </w:r>
    </w:p>
    <w:p w14:paraId="5AA26682" w14:textId="159DBDCD" w:rsidR="002B47E1" w:rsidRPr="00E43816" w:rsidRDefault="00006C77" w:rsidP="00006C77">
      <w:pPr>
        <w:pStyle w:val="Heading3"/>
        <w:rPr>
          <w:b/>
          <w:bCs/>
          <w:sz w:val="26"/>
          <w:szCs w:val="26"/>
        </w:rPr>
      </w:pPr>
      <w:r>
        <w:rPr>
          <w:b/>
          <w:bCs/>
          <w:sz w:val="26"/>
          <w:szCs w:val="26"/>
        </w:rPr>
        <w:t xml:space="preserve">Project 1: </w:t>
      </w:r>
      <w:r w:rsidR="002B47E1" w:rsidRPr="00E43816">
        <w:rPr>
          <w:b/>
          <w:bCs/>
          <w:sz w:val="26"/>
          <w:szCs w:val="26"/>
        </w:rPr>
        <w:t xml:space="preserve">Consumer </w:t>
      </w:r>
      <w:r w:rsidR="00001426">
        <w:rPr>
          <w:b/>
          <w:bCs/>
          <w:sz w:val="26"/>
          <w:szCs w:val="26"/>
        </w:rPr>
        <w:t xml:space="preserve">friendly resources </w:t>
      </w:r>
    </w:p>
    <w:p w14:paraId="23435FC5" w14:textId="5C38AB94" w:rsidR="002B47E1" w:rsidRPr="002B47E1" w:rsidRDefault="002B47E1" w:rsidP="002B47E1">
      <w:pPr>
        <w:pStyle w:val="Paragraphtext"/>
        <w:spacing w:after="120" w:line="259" w:lineRule="auto"/>
        <w:rPr>
          <w:sz w:val="22"/>
          <w:szCs w:val="22"/>
        </w:rPr>
      </w:pPr>
      <w:r w:rsidRPr="002B47E1">
        <w:rPr>
          <w:sz w:val="22"/>
          <w:szCs w:val="22"/>
        </w:rPr>
        <w:t xml:space="preserve">Increasing access and availability to patient friendly reports and data tools forms part of Strategy Pillar 1: Priority 5 and Strategy Pillar 5: Priority 20. The South Australian Health and Medical Research Institute (SAHMRI) Registry Centre are working with the Registry of Senior Australians, the Australian Corneal Graft Registry, and the Transcatheter Aortic Valve Implantation Registry to </w:t>
      </w:r>
      <w:r w:rsidR="00001426">
        <w:rPr>
          <w:sz w:val="22"/>
          <w:szCs w:val="22"/>
        </w:rPr>
        <w:t xml:space="preserve">create </w:t>
      </w:r>
      <w:r w:rsidRPr="002B47E1">
        <w:rPr>
          <w:sz w:val="22"/>
          <w:szCs w:val="22"/>
        </w:rPr>
        <w:t xml:space="preserve"> public facing resources designed specifically for consumers for release in June 2025. </w:t>
      </w:r>
      <w:r w:rsidR="00001426" w:rsidRPr="00001426">
        <w:rPr>
          <w:sz w:val="22"/>
          <w:szCs w:val="22"/>
        </w:rPr>
        <w:t>The project will also develop a series of guides to assist other registries implement similar processes</w:t>
      </w:r>
      <w:r w:rsidR="00001426">
        <w:rPr>
          <w:sz w:val="22"/>
          <w:szCs w:val="22"/>
        </w:rPr>
        <w:t xml:space="preserve">. </w:t>
      </w:r>
      <w:r w:rsidR="00FC31E4" w:rsidRPr="00FC31E4">
        <w:rPr>
          <w:sz w:val="22"/>
          <w:szCs w:val="22"/>
        </w:rPr>
        <w:t xml:space="preserve">For more information, please contact Cindy Turner at </w:t>
      </w:r>
      <w:hyperlink r:id="rId13" w:history="1">
        <w:r w:rsidR="002028A1" w:rsidRPr="006B3039">
          <w:rPr>
            <w:rFonts w:eastAsia="Calibri"/>
            <w:color w:val="0563C1"/>
            <w:sz w:val="22"/>
            <w:szCs w:val="22"/>
            <w:u w:val="single"/>
            <w14:ligatures w14:val="standardContextual"/>
          </w:rPr>
          <w:t>registrycentre@sahmri.com</w:t>
        </w:r>
      </w:hyperlink>
      <w:r w:rsidR="00FC31E4">
        <w:rPr>
          <w:sz w:val="22"/>
          <w:szCs w:val="22"/>
        </w:rPr>
        <w:t>.</w:t>
      </w:r>
    </w:p>
    <w:p w14:paraId="6ABDDA89" w14:textId="4F922071" w:rsidR="002B47E1" w:rsidRPr="002B47E1" w:rsidRDefault="002B47E1" w:rsidP="002B47E1">
      <w:pPr>
        <w:pStyle w:val="Paragraphtext"/>
        <w:spacing w:after="120" w:line="259" w:lineRule="auto"/>
        <w:rPr>
          <w:sz w:val="22"/>
          <w:szCs w:val="22"/>
        </w:rPr>
      </w:pPr>
      <w:r w:rsidRPr="002B47E1">
        <w:rPr>
          <w:sz w:val="22"/>
          <w:szCs w:val="22"/>
        </w:rPr>
        <w:t xml:space="preserve">This work builds upon the previously completed </w:t>
      </w:r>
      <w:hyperlink r:id="rId14" w:anchor=":~:text=The%20My%20Hip%20My%20Voice,hospital%20with%20a%20broken%20hip." w:history="1">
        <w:r w:rsidRPr="00566BDF">
          <w:rPr>
            <w:rStyle w:val="Hyperlink"/>
            <w:sz w:val="22"/>
            <w:szCs w:val="22"/>
          </w:rPr>
          <w:t>My Hip, My Voice</w:t>
        </w:r>
      </w:hyperlink>
      <w:r w:rsidRPr="002B47E1">
        <w:rPr>
          <w:sz w:val="22"/>
          <w:szCs w:val="22"/>
        </w:rPr>
        <w:t xml:space="preserve"> initiative in the Australian and New Zealand Hip Fracture Registry and a booklet on the </w:t>
      </w:r>
      <w:hyperlink r:id="rId15" w:history="1">
        <w:r w:rsidRPr="006B2A6E">
          <w:rPr>
            <w:rStyle w:val="Hyperlink"/>
            <w:sz w:val="22"/>
            <w:szCs w:val="22"/>
          </w:rPr>
          <w:t>benefits of CQRs</w:t>
        </w:r>
      </w:hyperlink>
      <w:r w:rsidRPr="002B47E1">
        <w:rPr>
          <w:sz w:val="22"/>
          <w:szCs w:val="22"/>
        </w:rPr>
        <w:t xml:space="preserve"> for consumers.  </w:t>
      </w:r>
    </w:p>
    <w:p w14:paraId="1075AF09" w14:textId="447EA7F3" w:rsidR="002B47E1" w:rsidRPr="00E43816" w:rsidRDefault="00006C77" w:rsidP="00006C77">
      <w:pPr>
        <w:pStyle w:val="Heading3"/>
        <w:rPr>
          <w:b/>
          <w:bCs/>
          <w:sz w:val="26"/>
          <w:szCs w:val="26"/>
        </w:rPr>
      </w:pPr>
      <w:r>
        <w:rPr>
          <w:b/>
          <w:bCs/>
          <w:sz w:val="26"/>
          <w:szCs w:val="26"/>
        </w:rPr>
        <w:t xml:space="preserve">Project 2: </w:t>
      </w:r>
      <w:r w:rsidR="002B47E1" w:rsidRPr="00E43816">
        <w:rPr>
          <w:b/>
          <w:bCs/>
          <w:sz w:val="26"/>
          <w:szCs w:val="26"/>
        </w:rPr>
        <w:t xml:space="preserve">Registry based </w:t>
      </w:r>
      <w:proofErr w:type="gramStart"/>
      <w:r w:rsidR="002B47E1" w:rsidRPr="00E43816">
        <w:rPr>
          <w:b/>
          <w:bCs/>
          <w:sz w:val="26"/>
          <w:szCs w:val="26"/>
        </w:rPr>
        <w:t>trials</w:t>
      </w:r>
      <w:proofErr w:type="gramEnd"/>
      <w:r w:rsidR="002B47E1" w:rsidRPr="00E43816">
        <w:rPr>
          <w:b/>
          <w:bCs/>
          <w:sz w:val="26"/>
          <w:szCs w:val="26"/>
        </w:rPr>
        <w:t xml:space="preserve"> </w:t>
      </w:r>
    </w:p>
    <w:p w14:paraId="0DC8AA04" w14:textId="2C31A92A" w:rsidR="002B47E1" w:rsidRPr="002B47E1" w:rsidRDefault="002B47E1" w:rsidP="002B47E1">
      <w:pPr>
        <w:pStyle w:val="Paragraphtext"/>
        <w:spacing w:after="120" w:line="259" w:lineRule="auto"/>
        <w:rPr>
          <w:sz w:val="22"/>
          <w:szCs w:val="22"/>
        </w:rPr>
      </w:pPr>
      <w:r w:rsidRPr="002B47E1">
        <w:rPr>
          <w:sz w:val="22"/>
          <w:szCs w:val="22"/>
        </w:rPr>
        <w:t xml:space="preserve">Increasing connectivity and integration between CQRs and clinical trials through registry-based trials forms part of Strategy Pillar 6: Priority 23. Monash University is </w:t>
      </w:r>
      <w:r w:rsidR="00FC31E4">
        <w:rPr>
          <w:sz w:val="22"/>
          <w:szCs w:val="22"/>
        </w:rPr>
        <w:t>collaborating</w:t>
      </w:r>
      <w:r w:rsidRPr="002B47E1">
        <w:rPr>
          <w:sz w:val="22"/>
          <w:szCs w:val="22"/>
        </w:rPr>
        <w:t xml:space="preserve"> with </w:t>
      </w:r>
      <w:r w:rsidR="00A97ADB">
        <w:rPr>
          <w:sz w:val="22"/>
          <w:szCs w:val="22"/>
        </w:rPr>
        <w:t xml:space="preserve">a wide range of </w:t>
      </w:r>
      <w:r w:rsidRPr="002B47E1">
        <w:rPr>
          <w:sz w:val="22"/>
          <w:szCs w:val="22"/>
        </w:rPr>
        <w:t>CQR operators and researchers to compile</w:t>
      </w:r>
      <w:r w:rsidR="005E3609">
        <w:rPr>
          <w:sz w:val="22"/>
          <w:szCs w:val="22"/>
        </w:rPr>
        <w:t xml:space="preserve"> a</w:t>
      </w:r>
      <w:r w:rsidRPr="002B47E1">
        <w:rPr>
          <w:sz w:val="22"/>
          <w:szCs w:val="22"/>
        </w:rPr>
        <w:t xml:space="preserve"> national best practice Guide on the use of national CQRs as a platform for clinical trials. The Guide will be published in December 2024. </w:t>
      </w:r>
      <w:r w:rsidR="00FC31E4" w:rsidRPr="00FC31E4">
        <w:rPr>
          <w:sz w:val="22"/>
          <w:szCs w:val="22"/>
        </w:rPr>
        <w:t xml:space="preserve">For more information, please contact Tsharni Zazryn at </w:t>
      </w:r>
      <w:hyperlink r:id="rId16" w:history="1">
        <w:r w:rsidR="00FC31E4" w:rsidRPr="00FD11C1">
          <w:rPr>
            <w:rStyle w:val="Hyperlink"/>
            <w:sz w:val="22"/>
            <w:szCs w:val="22"/>
          </w:rPr>
          <w:t>tsharni.zazryn@monash.edu</w:t>
        </w:r>
      </w:hyperlink>
      <w:r w:rsidR="00FC31E4">
        <w:rPr>
          <w:sz w:val="22"/>
          <w:szCs w:val="22"/>
        </w:rPr>
        <w:t>.</w:t>
      </w:r>
    </w:p>
    <w:p w14:paraId="662F0257" w14:textId="00651A4D" w:rsidR="002B47E1" w:rsidRPr="00E43816" w:rsidRDefault="00006C77" w:rsidP="00006C77">
      <w:pPr>
        <w:pStyle w:val="Heading3"/>
        <w:rPr>
          <w:b/>
          <w:bCs/>
          <w:sz w:val="26"/>
          <w:szCs w:val="26"/>
        </w:rPr>
      </w:pPr>
      <w:r>
        <w:rPr>
          <w:b/>
          <w:bCs/>
          <w:sz w:val="26"/>
          <w:szCs w:val="26"/>
        </w:rPr>
        <w:lastRenderedPageBreak/>
        <w:t xml:space="preserve">Project 3: </w:t>
      </w:r>
      <w:r w:rsidR="001519B9" w:rsidRPr="001519B9">
        <w:rPr>
          <w:b/>
          <w:bCs/>
          <w:sz w:val="26"/>
          <w:szCs w:val="26"/>
        </w:rPr>
        <w:t xml:space="preserve">Expanding best practice </w:t>
      </w:r>
      <w:r w:rsidR="00001426">
        <w:rPr>
          <w:b/>
          <w:bCs/>
          <w:sz w:val="26"/>
          <w:szCs w:val="26"/>
        </w:rPr>
        <w:t xml:space="preserve">in </w:t>
      </w:r>
      <w:r w:rsidR="00DA6CD7">
        <w:rPr>
          <w:b/>
          <w:bCs/>
          <w:sz w:val="26"/>
          <w:szCs w:val="26"/>
        </w:rPr>
        <w:t xml:space="preserve">registry </w:t>
      </w:r>
      <w:proofErr w:type="gramStart"/>
      <w:r w:rsidR="00DA6CD7">
        <w:rPr>
          <w:b/>
          <w:bCs/>
          <w:sz w:val="26"/>
          <w:szCs w:val="26"/>
        </w:rPr>
        <w:t>science</w:t>
      </w:r>
      <w:proofErr w:type="gramEnd"/>
    </w:p>
    <w:p w14:paraId="3479A7DC" w14:textId="41AEA2C9" w:rsidR="002B47E1" w:rsidRPr="002B47E1" w:rsidRDefault="002B47E1" w:rsidP="002B47E1">
      <w:pPr>
        <w:pStyle w:val="Paragraphtext"/>
        <w:spacing w:after="120" w:line="259" w:lineRule="auto"/>
        <w:rPr>
          <w:sz w:val="22"/>
          <w:szCs w:val="22"/>
        </w:rPr>
      </w:pPr>
      <w:r w:rsidRPr="002B47E1">
        <w:rPr>
          <w:sz w:val="22"/>
          <w:szCs w:val="22"/>
        </w:rPr>
        <w:t xml:space="preserve">The SAHMRI Registry Centre is leading </w:t>
      </w:r>
      <w:r w:rsidR="00001426">
        <w:rPr>
          <w:sz w:val="22"/>
          <w:szCs w:val="22"/>
        </w:rPr>
        <w:t>four</w:t>
      </w:r>
      <w:r w:rsidR="009361E7">
        <w:rPr>
          <w:sz w:val="22"/>
          <w:szCs w:val="22"/>
        </w:rPr>
        <w:t xml:space="preserve"> projects</w:t>
      </w:r>
      <w:r w:rsidRPr="002B47E1">
        <w:rPr>
          <w:sz w:val="22"/>
          <w:szCs w:val="22"/>
        </w:rPr>
        <w:t xml:space="preserve"> </w:t>
      </w:r>
      <w:r w:rsidR="00303F29">
        <w:rPr>
          <w:sz w:val="22"/>
          <w:szCs w:val="22"/>
        </w:rPr>
        <w:t>due for completion by June 2025</w:t>
      </w:r>
      <w:r w:rsidRPr="002B47E1">
        <w:rPr>
          <w:sz w:val="22"/>
          <w:szCs w:val="22"/>
        </w:rPr>
        <w:t xml:space="preserve">:  </w:t>
      </w:r>
    </w:p>
    <w:p w14:paraId="48F76ED9" w14:textId="77777777" w:rsidR="002028A1" w:rsidRPr="002028A1" w:rsidRDefault="002028A1" w:rsidP="002028A1">
      <w:pPr>
        <w:pStyle w:val="ListParagraph"/>
        <w:numPr>
          <w:ilvl w:val="0"/>
          <w:numId w:val="7"/>
        </w:numPr>
        <w:rPr>
          <w:i/>
          <w:iCs/>
          <w:color w:val="000000" w:themeColor="text1"/>
          <w:szCs w:val="22"/>
        </w:rPr>
      </w:pPr>
      <w:r w:rsidRPr="002028A1">
        <w:rPr>
          <w:i/>
          <w:iCs/>
          <w:color w:val="000000" w:themeColor="text1"/>
          <w:szCs w:val="22"/>
        </w:rPr>
        <w:t xml:space="preserve">Increasing CQR sector capability in public reporting </w:t>
      </w:r>
    </w:p>
    <w:p w14:paraId="64D7D42F" w14:textId="401ADD6F" w:rsidR="002B47E1" w:rsidRPr="002B47E1" w:rsidRDefault="002B47E1" w:rsidP="003E599E">
      <w:pPr>
        <w:pStyle w:val="Paragraphtext"/>
        <w:spacing w:after="120" w:line="259" w:lineRule="auto"/>
        <w:ind w:left="720"/>
        <w:rPr>
          <w:sz w:val="22"/>
          <w:szCs w:val="22"/>
        </w:rPr>
      </w:pPr>
      <w:r w:rsidRPr="002B47E1">
        <w:rPr>
          <w:sz w:val="22"/>
          <w:szCs w:val="22"/>
        </w:rPr>
        <w:t>Increased public access to CQR data forms part of Strategy Pillar 5: Priority 20. The SAHMRI Registry Centre is working to improve public reporting activity across its member registries and translate these findings into a set of</w:t>
      </w:r>
      <w:r w:rsidR="00FC31E4">
        <w:rPr>
          <w:sz w:val="22"/>
          <w:szCs w:val="22"/>
        </w:rPr>
        <w:t xml:space="preserve"> public-facing</w:t>
      </w:r>
      <w:r w:rsidRPr="002B47E1">
        <w:rPr>
          <w:sz w:val="22"/>
          <w:szCs w:val="22"/>
        </w:rPr>
        <w:t xml:space="preserve"> best practice resources. They are also investigating the feasibility of using a centralised national platform to host CQR public reporting in line with Strategy Pillar 1: Priority 5</w:t>
      </w:r>
      <w:r w:rsidR="00FC31E4">
        <w:rPr>
          <w:sz w:val="22"/>
          <w:szCs w:val="22"/>
        </w:rPr>
        <w:t xml:space="preserve">. Recommendations will be provided to the Department for further consideration. </w:t>
      </w:r>
    </w:p>
    <w:p w14:paraId="78668C54" w14:textId="77777777" w:rsidR="002028A1" w:rsidRPr="002028A1" w:rsidRDefault="002028A1" w:rsidP="002028A1">
      <w:pPr>
        <w:pStyle w:val="ListParagraph"/>
        <w:numPr>
          <w:ilvl w:val="0"/>
          <w:numId w:val="7"/>
        </w:numPr>
        <w:rPr>
          <w:i/>
          <w:iCs/>
          <w:color w:val="000000" w:themeColor="text1"/>
          <w:szCs w:val="22"/>
        </w:rPr>
      </w:pPr>
      <w:r w:rsidRPr="002028A1">
        <w:rPr>
          <w:i/>
          <w:iCs/>
          <w:color w:val="000000" w:themeColor="text1"/>
          <w:szCs w:val="22"/>
        </w:rPr>
        <w:t>Increasing CQR sector capability in data linkage</w:t>
      </w:r>
    </w:p>
    <w:p w14:paraId="168BA710" w14:textId="3BA93D80" w:rsidR="002B47E1" w:rsidRPr="002B47E1" w:rsidRDefault="002B47E1" w:rsidP="003E599E">
      <w:pPr>
        <w:pStyle w:val="Paragraphtext"/>
        <w:spacing w:after="120" w:line="259" w:lineRule="auto"/>
        <w:ind w:left="720"/>
        <w:rPr>
          <w:sz w:val="22"/>
          <w:szCs w:val="22"/>
        </w:rPr>
      </w:pPr>
      <w:r w:rsidRPr="002B47E1">
        <w:rPr>
          <w:sz w:val="22"/>
          <w:szCs w:val="22"/>
        </w:rPr>
        <w:t>Facilitating strategic data linkage projects between CQRs and administrative data forms part of Strategy Pillar 6: Priority 22. The SAHMRI Registry Centre is leveraging the experiences and lessons learnt from their multiple member registries, including the National Joint Replacement Registry, the Registry of Senior Australians, and the Australia and New Zealand Dialysis and Transplantation Registry, to develop</w:t>
      </w:r>
      <w:r w:rsidR="00FC31E4">
        <w:rPr>
          <w:sz w:val="22"/>
          <w:szCs w:val="22"/>
        </w:rPr>
        <w:t xml:space="preserve"> public facing</w:t>
      </w:r>
      <w:r w:rsidRPr="002B47E1">
        <w:rPr>
          <w:sz w:val="22"/>
          <w:szCs w:val="22"/>
        </w:rPr>
        <w:t xml:space="preserve"> CQR data linkage guidance resources</w:t>
      </w:r>
      <w:r w:rsidR="00E50386">
        <w:rPr>
          <w:sz w:val="22"/>
          <w:szCs w:val="22"/>
        </w:rPr>
        <w:t>.</w:t>
      </w:r>
      <w:r w:rsidRPr="002B47E1">
        <w:rPr>
          <w:sz w:val="22"/>
          <w:szCs w:val="22"/>
        </w:rPr>
        <w:t xml:space="preserve"> They </w:t>
      </w:r>
      <w:r w:rsidR="00B523E6">
        <w:rPr>
          <w:sz w:val="22"/>
          <w:szCs w:val="22"/>
        </w:rPr>
        <w:t>will</w:t>
      </w:r>
      <w:r w:rsidRPr="002B47E1">
        <w:rPr>
          <w:sz w:val="22"/>
          <w:szCs w:val="22"/>
        </w:rPr>
        <w:t xml:space="preserve"> also co</w:t>
      </w:r>
      <w:r w:rsidR="00FC31E4">
        <w:rPr>
          <w:sz w:val="22"/>
          <w:szCs w:val="22"/>
        </w:rPr>
        <w:t>llaborate</w:t>
      </w:r>
      <w:r w:rsidRPr="002B47E1">
        <w:rPr>
          <w:sz w:val="22"/>
          <w:szCs w:val="22"/>
        </w:rPr>
        <w:t xml:space="preserve"> with other national registries with experience in data linkage processes.</w:t>
      </w:r>
    </w:p>
    <w:p w14:paraId="7E2903DE" w14:textId="77777777" w:rsidR="002028A1" w:rsidRPr="002028A1" w:rsidRDefault="002028A1" w:rsidP="002028A1">
      <w:pPr>
        <w:pStyle w:val="ListParagraph"/>
        <w:numPr>
          <w:ilvl w:val="0"/>
          <w:numId w:val="7"/>
        </w:numPr>
        <w:rPr>
          <w:i/>
          <w:iCs/>
          <w:color w:val="000000" w:themeColor="text1"/>
          <w:szCs w:val="22"/>
        </w:rPr>
      </w:pPr>
      <w:r w:rsidRPr="002028A1">
        <w:rPr>
          <w:i/>
          <w:iCs/>
          <w:color w:val="000000" w:themeColor="text1"/>
          <w:szCs w:val="22"/>
        </w:rPr>
        <w:t xml:space="preserve">Piloting a CQR Advisory Service </w:t>
      </w:r>
    </w:p>
    <w:p w14:paraId="141E5DDA" w14:textId="27471339" w:rsidR="002B47E1" w:rsidRPr="002B47E1" w:rsidRDefault="002B47E1" w:rsidP="003E599E">
      <w:pPr>
        <w:pStyle w:val="Paragraphtext"/>
        <w:spacing w:after="120" w:line="259" w:lineRule="auto"/>
        <w:ind w:left="720"/>
        <w:rPr>
          <w:sz w:val="22"/>
          <w:szCs w:val="22"/>
        </w:rPr>
      </w:pPr>
      <w:r w:rsidRPr="002B47E1">
        <w:rPr>
          <w:sz w:val="22"/>
          <w:szCs w:val="22"/>
        </w:rPr>
        <w:t>Increasing communication and collaboration within the CQR sector forms part of Strategy Pillar 3: Priority 15. A part of the broader work on a CQR Communication and Collaboration Hub, the SAHMRI Registry Centre is piloting a CQR Advisory Service. This will enable Australian registries to seek support from, and leverage the expertise of, the SAHMRI Registry Centre.</w:t>
      </w:r>
      <w:r w:rsidR="00FC31E4">
        <w:rPr>
          <w:sz w:val="22"/>
          <w:szCs w:val="22"/>
        </w:rPr>
        <w:t xml:space="preserve"> They will deliver a pilot evaluation report and recommendations to the Department for further consideration. </w:t>
      </w:r>
    </w:p>
    <w:p w14:paraId="0C98DE3B" w14:textId="77777777" w:rsidR="002028A1" w:rsidRPr="002028A1" w:rsidRDefault="002028A1" w:rsidP="002028A1">
      <w:pPr>
        <w:pStyle w:val="ListParagraph"/>
        <w:numPr>
          <w:ilvl w:val="0"/>
          <w:numId w:val="7"/>
        </w:numPr>
        <w:rPr>
          <w:i/>
          <w:iCs/>
          <w:color w:val="000000" w:themeColor="text1"/>
          <w:szCs w:val="22"/>
        </w:rPr>
      </w:pPr>
      <w:r w:rsidRPr="002028A1">
        <w:rPr>
          <w:i/>
          <w:iCs/>
          <w:color w:val="000000" w:themeColor="text1"/>
          <w:szCs w:val="22"/>
        </w:rPr>
        <w:t xml:space="preserve">Increasing CQR value and impact case studies and analysis </w:t>
      </w:r>
    </w:p>
    <w:p w14:paraId="158F2831" w14:textId="5A63407B" w:rsidR="002B47E1" w:rsidRDefault="002B47E1" w:rsidP="00AC21AB">
      <w:pPr>
        <w:pStyle w:val="Paragraphtext"/>
        <w:spacing w:after="120" w:line="259" w:lineRule="auto"/>
        <w:ind w:left="720"/>
        <w:rPr>
          <w:sz w:val="22"/>
          <w:szCs w:val="22"/>
        </w:rPr>
      </w:pPr>
      <w:r w:rsidRPr="002B47E1">
        <w:rPr>
          <w:sz w:val="22"/>
          <w:szCs w:val="22"/>
        </w:rPr>
        <w:t xml:space="preserve">Assessing contributions of CQRs to improvements in clinical practice and patient outcomes forms part of Strategy Pillar 2: Priority 9 and Strategy Pillar 4: Priority 18. It will also inform the evaluation of the Strategy and the National CQR Program. The SAHMRI Registry Centre is compiling a suite of </w:t>
      </w:r>
      <w:r w:rsidR="00AC21AB">
        <w:rPr>
          <w:sz w:val="22"/>
          <w:szCs w:val="22"/>
        </w:rPr>
        <w:t>standard</w:t>
      </w:r>
      <w:r w:rsidR="00C406E6">
        <w:rPr>
          <w:sz w:val="22"/>
          <w:szCs w:val="22"/>
        </w:rPr>
        <w:t xml:space="preserve"> </w:t>
      </w:r>
      <w:r w:rsidR="00527867">
        <w:rPr>
          <w:sz w:val="22"/>
          <w:szCs w:val="22"/>
        </w:rPr>
        <w:t>metrics</w:t>
      </w:r>
      <w:r w:rsidRPr="002B47E1">
        <w:rPr>
          <w:sz w:val="22"/>
          <w:szCs w:val="22"/>
        </w:rPr>
        <w:t xml:space="preserve"> and case studies that </w:t>
      </w:r>
      <w:r w:rsidR="00C406E6">
        <w:rPr>
          <w:sz w:val="22"/>
          <w:szCs w:val="22"/>
        </w:rPr>
        <w:t>measure</w:t>
      </w:r>
      <w:r w:rsidRPr="002B47E1">
        <w:rPr>
          <w:sz w:val="22"/>
          <w:szCs w:val="22"/>
        </w:rPr>
        <w:t xml:space="preserve"> the value and impact of its member registries</w:t>
      </w:r>
      <w:r w:rsidR="00AC21AB">
        <w:rPr>
          <w:sz w:val="22"/>
          <w:szCs w:val="22"/>
        </w:rPr>
        <w:t xml:space="preserve">. </w:t>
      </w:r>
      <w:r w:rsidR="00FC31E4">
        <w:rPr>
          <w:sz w:val="22"/>
          <w:szCs w:val="22"/>
        </w:rPr>
        <w:t xml:space="preserve">These will be shared with the Department and included in registry reporting. </w:t>
      </w:r>
      <w:r w:rsidRPr="002B47E1">
        <w:rPr>
          <w:sz w:val="22"/>
          <w:szCs w:val="22"/>
        </w:rPr>
        <w:t xml:space="preserve"> </w:t>
      </w:r>
    </w:p>
    <w:p w14:paraId="377B7F95" w14:textId="7BDEB99F" w:rsidR="00FC31E4" w:rsidRPr="002B47E1" w:rsidRDefault="00FC31E4" w:rsidP="00FC31E4">
      <w:pPr>
        <w:pStyle w:val="Paragraphtext"/>
        <w:spacing w:after="120" w:line="259" w:lineRule="auto"/>
        <w:rPr>
          <w:sz w:val="22"/>
          <w:szCs w:val="22"/>
        </w:rPr>
      </w:pPr>
      <w:r w:rsidRPr="00FC31E4">
        <w:rPr>
          <w:sz w:val="22"/>
          <w:szCs w:val="22"/>
        </w:rPr>
        <w:t xml:space="preserve">For more information, please contact Cindy Turner at </w:t>
      </w:r>
      <w:hyperlink r:id="rId17" w:history="1">
        <w:r w:rsidR="006B3039" w:rsidRPr="006B3039">
          <w:rPr>
            <w:rFonts w:eastAsia="Calibri"/>
            <w:color w:val="0563C1"/>
            <w:sz w:val="22"/>
            <w:szCs w:val="22"/>
            <w:u w:val="single"/>
            <w14:ligatures w14:val="standardContextual"/>
          </w:rPr>
          <w:t>registrycentre@sahmri.com</w:t>
        </w:r>
      </w:hyperlink>
      <w:r>
        <w:rPr>
          <w:sz w:val="22"/>
          <w:szCs w:val="22"/>
        </w:rPr>
        <w:t xml:space="preserve">. </w:t>
      </w:r>
    </w:p>
    <w:p w14:paraId="29B5AD42" w14:textId="5311D661" w:rsidR="005F3194" w:rsidRPr="00D748BD" w:rsidRDefault="00D748BD" w:rsidP="00D748BD">
      <w:pPr>
        <w:pStyle w:val="Heading2"/>
        <w:rPr>
          <w:b/>
          <w:bCs w:val="0"/>
        </w:rPr>
      </w:pPr>
      <w:r w:rsidRPr="00D748BD">
        <w:rPr>
          <w:b/>
          <w:bCs w:val="0"/>
        </w:rPr>
        <w:t>P</w:t>
      </w:r>
      <w:r w:rsidR="00CF1D39" w:rsidRPr="00D748BD">
        <w:rPr>
          <w:b/>
          <w:bCs w:val="0"/>
        </w:rPr>
        <w:t xml:space="preserve">revious </w:t>
      </w:r>
      <w:r w:rsidRPr="00D748BD">
        <w:rPr>
          <w:b/>
          <w:bCs w:val="0"/>
        </w:rPr>
        <w:t xml:space="preserve">Strategy </w:t>
      </w:r>
      <w:r w:rsidR="00CF1D39" w:rsidRPr="00D748BD">
        <w:rPr>
          <w:b/>
          <w:bCs w:val="0"/>
        </w:rPr>
        <w:t xml:space="preserve">activities </w:t>
      </w:r>
    </w:p>
    <w:p w14:paraId="63B2FCA6" w14:textId="2DC10808" w:rsidR="002B47E1" w:rsidRPr="002B47E1" w:rsidRDefault="002B47E1" w:rsidP="002B47E1">
      <w:pPr>
        <w:pStyle w:val="Paragraphtext"/>
        <w:spacing w:after="120" w:line="259" w:lineRule="auto"/>
        <w:rPr>
          <w:sz w:val="22"/>
          <w:szCs w:val="22"/>
        </w:rPr>
      </w:pPr>
      <w:r w:rsidRPr="002B47E1">
        <w:rPr>
          <w:sz w:val="22"/>
          <w:szCs w:val="22"/>
        </w:rPr>
        <w:t xml:space="preserve">Several </w:t>
      </w:r>
      <w:r w:rsidR="005E2605">
        <w:rPr>
          <w:sz w:val="22"/>
          <w:szCs w:val="22"/>
        </w:rPr>
        <w:t>Strategy</w:t>
      </w:r>
      <w:r w:rsidRPr="002B47E1">
        <w:rPr>
          <w:sz w:val="22"/>
          <w:szCs w:val="22"/>
        </w:rPr>
        <w:t xml:space="preserve"> projects </w:t>
      </w:r>
      <w:r w:rsidR="00155712">
        <w:rPr>
          <w:sz w:val="22"/>
          <w:szCs w:val="22"/>
        </w:rPr>
        <w:t xml:space="preserve">that </w:t>
      </w:r>
      <w:r w:rsidRPr="002B47E1">
        <w:rPr>
          <w:sz w:val="22"/>
          <w:szCs w:val="22"/>
        </w:rPr>
        <w:t>started before the establishment of the Program are now nearing completion</w:t>
      </w:r>
      <w:r w:rsidR="00E910A4">
        <w:rPr>
          <w:sz w:val="22"/>
          <w:szCs w:val="22"/>
        </w:rPr>
        <w:t>:</w:t>
      </w:r>
      <w:r w:rsidRPr="002B47E1">
        <w:rPr>
          <w:sz w:val="22"/>
          <w:szCs w:val="22"/>
        </w:rPr>
        <w:t xml:space="preserve"> </w:t>
      </w:r>
    </w:p>
    <w:p w14:paraId="64935BB9" w14:textId="77777777" w:rsidR="002B47E1" w:rsidRPr="005E2605" w:rsidRDefault="002B47E1" w:rsidP="005E2605">
      <w:pPr>
        <w:pStyle w:val="Heading3"/>
        <w:rPr>
          <w:b/>
          <w:bCs/>
          <w:sz w:val="26"/>
          <w:szCs w:val="26"/>
        </w:rPr>
      </w:pPr>
      <w:r w:rsidRPr="005E2605">
        <w:rPr>
          <w:b/>
          <w:bCs/>
          <w:sz w:val="26"/>
          <w:szCs w:val="26"/>
        </w:rPr>
        <w:t xml:space="preserve">Best practice PROMs reporting </w:t>
      </w:r>
    </w:p>
    <w:p w14:paraId="0432A5DF" w14:textId="6C3875BF" w:rsidR="002B47E1" w:rsidRPr="002B47E1" w:rsidRDefault="002B47E1" w:rsidP="002B47E1">
      <w:pPr>
        <w:pStyle w:val="Paragraphtext"/>
        <w:spacing w:after="120" w:line="259" w:lineRule="auto"/>
        <w:rPr>
          <w:sz w:val="22"/>
          <w:szCs w:val="22"/>
        </w:rPr>
      </w:pPr>
      <w:r w:rsidRPr="002B47E1">
        <w:rPr>
          <w:sz w:val="22"/>
          <w:szCs w:val="22"/>
        </w:rPr>
        <w:t>Developing resources to help clinicians and stakeholders to better analyse, interpret and apply patient reported outcomes data forms part of Strategy Pillar 1: Priority 4. Monash University is finalising best practice approaches for reporting PROMs information and how it can be integrated into clinical reporting for maximum impact.</w:t>
      </w:r>
      <w:r w:rsidR="005B4B65" w:rsidRPr="005B4B65">
        <w:t xml:space="preserve"> </w:t>
      </w:r>
      <w:r w:rsidR="005B4B65" w:rsidRPr="005B4B65">
        <w:rPr>
          <w:sz w:val="22"/>
          <w:szCs w:val="22"/>
        </w:rPr>
        <w:t>Project Reports will be available in June 2024</w:t>
      </w:r>
      <w:r w:rsidRPr="002B47E1">
        <w:rPr>
          <w:sz w:val="22"/>
          <w:szCs w:val="22"/>
        </w:rPr>
        <w:t>.</w:t>
      </w:r>
    </w:p>
    <w:p w14:paraId="26121170" w14:textId="77777777" w:rsidR="002B47E1" w:rsidRPr="002D5DD7" w:rsidRDefault="002B47E1" w:rsidP="002D5DD7">
      <w:pPr>
        <w:pStyle w:val="Heading3"/>
        <w:rPr>
          <w:b/>
          <w:bCs/>
          <w:sz w:val="26"/>
          <w:szCs w:val="26"/>
        </w:rPr>
      </w:pPr>
      <w:r w:rsidRPr="002D5DD7">
        <w:rPr>
          <w:b/>
          <w:bCs/>
          <w:sz w:val="26"/>
          <w:szCs w:val="26"/>
        </w:rPr>
        <w:t xml:space="preserve">Best practice clinical reporting </w:t>
      </w:r>
    </w:p>
    <w:p w14:paraId="1E33BCB9" w14:textId="072306F7" w:rsidR="002B47E1" w:rsidRPr="002B47E1" w:rsidRDefault="002B47E1" w:rsidP="002B47E1">
      <w:pPr>
        <w:pStyle w:val="Paragraphtext"/>
        <w:spacing w:after="120" w:line="259" w:lineRule="auto"/>
        <w:rPr>
          <w:sz w:val="22"/>
          <w:szCs w:val="22"/>
        </w:rPr>
      </w:pPr>
      <w:r w:rsidRPr="002B47E1">
        <w:rPr>
          <w:sz w:val="22"/>
          <w:szCs w:val="22"/>
        </w:rPr>
        <w:t xml:space="preserve">Providing data back to sites and clinicians is a defining feature of a CQR and forms part of Strategy Pillar 2: Priority 9 and Priority 18. Monash University is developing best practice guidance on feedback reporting for clinicians and sites in ways that maximise safety and quality improvement, in line with the CQR Framework. </w:t>
      </w:r>
      <w:r w:rsidR="005B4B65" w:rsidRPr="005B4B65">
        <w:rPr>
          <w:sz w:val="22"/>
          <w:szCs w:val="22"/>
        </w:rPr>
        <w:t>Project Reports will be available in June 2024</w:t>
      </w:r>
      <w:r w:rsidRPr="002B47E1">
        <w:rPr>
          <w:sz w:val="22"/>
          <w:szCs w:val="22"/>
        </w:rPr>
        <w:t xml:space="preserve">. </w:t>
      </w:r>
    </w:p>
    <w:p w14:paraId="41DBC02D" w14:textId="77777777" w:rsidR="002B47E1" w:rsidRPr="002D5DD7" w:rsidRDefault="002B47E1" w:rsidP="002D5DD7">
      <w:pPr>
        <w:pStyle w:val="Heading3"/>
        <w:rPr>
          <w:b/>
          <w:bCs/>
          <w:sz w:val="26"/>
          <w:szCs w:val="26"/>
        </w:rPr>
      </w:pPr>
      <w:r w:rsidRPr="002D5DD7">
        <w:rPr>
          <w:b/>
          <w:bCs/>
          <w:sz w:val="26"/>
          <w:szCs w:val="26"/>
        </w:rPr>
        <w:t xml:space="preserve">Development of Good CQR Training module </w:t>
      </w:r>
    </w:p>
    <w:p w14:paraId="26685651" w14:textId="2588E166" w:rsidR="002B47E1" w:rsidRPr="002B47E1" w:rsidRDefault="002B47E1" w:rsidP="002B47E1">
      <w:pPr>
        <w:pStyle w:val="Paragraphtext"/>
        <w:spacing w:after="120" w:line="259" w:lineRule="auto"/>
        <w:rPr>
          <w:sz w:val="22"/>
          <w:szCs w:val="22"/>
        </w:rPr>
      </w:pPr>
      <w:r w:rsidRPr="002B47E1">
        <w:rPr>
          <w:sz w:val="22"/>
          <w:szCs w:val="22"/>
        </w:rPr>
        <w:t xml:space="preserve">Streamlining processes for CQRs conducted within a research framework forms part of Strategy Pillar 3: Priority 11. Monash University is developing a ‘Good CQR Training Module’ as an alternative to the current </w:t>
      </w:r>
      <w:r w:rsidRPr="002B47E1">
        <w:rPr>
          <w:sz w:val="22"/>
          <w:szCs w:val="22"/>
        </w:rPr>
        <w:lastRenderedPageBreak/>
        <w:t xml:space="preserve">Good Clinical Practice training for clinical trials. </w:t>
      </w:r>
      <w:r w:rsidR="005B4B65">
        <w:rPr>
          <w:sz w:val="22"/>
          <w:szCs w:val="22"/>
        </w:rPr>
        <w:t xml:space="preserve">A </w:t>
      </w:r>
      <w:r w:rsidR="005B4B65" w:rsidRPr="005B4B65">
        <w:rPr>
          <w:sz w:val="22"/>
          <w:szCs w:val="22"/>
        </w:rPr>
        <w:t>published Guide is expected to be available from June 2024</w:t>
      </w:r>
      <w:r w:rsidRPr="002B47E1">
        <w:rPr>
          <w:sz w:val="22"/>
          <w:szCs w:val="22"/>
        </w:rPr>
        <w:t xml:space="preserve">. </w:t>
      </w:r>
    </w:p>
    <w:p w14:paraId="2A1E8D81" w14:textId="77777777" w:rsidR="006A5F45" w:rsidRDefault="002B47E1" w:rsidP="002B47E1">
      <w:pPr>
        <w:pStyle w:val="Paragraphtext"/>
        <w:spacing w:after="120" w:line="259" w:lineRule="auto"/>
        <w:rPr>
          <w:sz w:val="22"/>
          <w:szCs w:val="22"/>
        </w:rPr>
      </w:pPr>
      <w:r w:rsidRPr="002B47E1">
        <w:rPr>
          <w:sz w:val="22"/>
          <w:szCs w:val="22"/>
        </w:rPr>
        <w:t xml:space="preserve">This work builds upon the previously completed Streamlining CQR Site Approval Pilot. </w:t>
      </w:r>
    </w:p>
    <w:p w14:paraId="0BC41E59" w14:textId="6ABAD643" w:rsidR="002B47E1" w:rsidRPr="002B47E1" w:rsidRDefault="006A5F45" w:rsidP="002B47E1">
      <w:pPr>
        <w:pStyle w:val="Paragraphtext"/>
        <w:spacing w:after="120" w:line="259" w:lineRule="auto"/>
        <w:rPr>
          <w:sz w:val="22"/>
          <w:szCs w:val="22"/>
        </w:rPr>
      </w:pPr>
      <w:r w:rsidRPr="006A5F45">
        <w:rPr>
          <w:sz w:val="22"/>
          <w:szCs w:val="22"/>
        </w:rPr>
        <w:t xml:space="preserve">For more information, please contact </w:t>
      </w:r>
      <w:hyperlink r:id="rId18" w:tgtFrame="_blank" w:history="1">
        <w:r w:rsidR="00BF5CAA" w:rsidRPr="00BF5CAA">
          <w:rPr>
            <w:rStyle w:val="Hyperlink"/>
            <w:sz w:val="22"/>
            <w:szCs w:val="22"/>
          </w:rPr>
          <w:t>med-clinicalregistries@monash.edu</w:t>
        </w:r>
      </w:hyperlink>
      <w:r w:rsidRPr="006A5F45">
        <w:rPr>
          <w:sz w:val="22"/>
          <w:szCs w:val="22"/>
        </w:rPr>
        <w:t>.</w:t>
      </w:r>
      <w:r>
        <w:rPr>
          <w:sz w:val="22"/>
          <w:szCs w:val="22"/>
        </w:rPr>
        <w:t xml:space="preserve"> </w:t>
      </w:r>
    </w:p>
    <w:p w14:paraId="7DCCE34B" w14:textId="77777777" w:rsidR="002B47E1" w:rsidRPr="002D5DD7" w:rsidRDefault="002B47E1" w:rsidP="002D5DD7">
      <w:pPr>
        <w:pStyle w:val="Heading3"/>
        <w:rPr>
          <w:b/>
          <w:bCs/>
          <w:sz w:val="26"/>
          <w:szCs w:val="26"/>
        </w:rPr>
      </w:pPr>
      <w:r w:rsidRPr="002D5DD7">
        <w:rPr>
          <w:b/>
          <w:bCs/>
          <w:sz w:val="26"/>
          <w:szCs w:val="26"/>
        </w:rPr>
        <w:t>Communication and Collaboration Hub activities</w:t>
      </w:r>
    </w:p>
    <w:p w14:paraId="38389F78" w14:textId="77777777" w:rsidR="002B47E1" w:rsidRPr="002B47E1" w:rsidRDefault="002B47E1" w:rsidP="002B47E1">
      <w:pPr>
        <w:pStyle w:val="Paragraphtext"/>
        <w:spacing w:after="120" w:line="259" w:lineRule="auto"/>
        <w:rPr>
          <w:sz w:val="22"/>
          <w:szCs w:val="22"/>
        </w:rPr>
      </w:pPr>
      <w:r w:rsidRPr="002B47E1">
        <w:rPr>
          <w:sz w:val="22"/>
          <w:szCs w:val="22"/>
        </w:rPr>
        <w:t xml:space="preserve">A CQR Communication and Collaboration Hub was established in 2022. Its purpose is to support CQRs to work together and share best practice in line with Strategy Pillar 3: Priority 15. In addition to the best practice projects outlined above, current activities include:   </w:t>
      </w:r>
    </w:p>
    <w:p w14:paraId="6F4A95BC" w14:textId="0F3BD21C" w:rsidR="002B47E1" w:rsidRPr="002B47E1" w:rsidRDefault="002B47E1" w:rsidP="009B0E0C">
      <w:pPr>
        <w:pStyle w:val="Paragraphtext"/>
        <w:numPr>
          <w:ilvl w:val="0"/>
          <w:numId w:val="7"/>
        </w:numPr>
        <w:spacing w:after="120" w:line="259" w:lineRule="auto"/>
        <w:rPr>
          <w:sz w:val="22"/>
          <w:szCs w:val="22"/>
        </w:rPr>
      </w:pPr>
      <w:r w:rsidRPr="002B47E1">
        <w:rPr>
          <w:sz w:val="22"/>
          <w:szCs w:val="22"/>
        </w:rPr>
        <w:t>The Australian</w:t>
      </w:r>
      <w:r w:rsidR="00254F2F">
        <w:rPr>
          <w:sz w:val="22"/>
          <w:szCs w:val="22"/>
        </w:rPr>
        <w:t xml:space="preserve"> Clinical</w:t>
      </w:r>
      <w:r w:rsidRPr="002B47E1">
        <w:rPr>
          <w:sz w:val="22"/>
          <w:szCs w:val="22"/>
        </w:rPr>
        <w:t xml:space="preserve"> Registry Annual Scientific Meeting (ASM)</w:t>
      </w:r>
    </w:p>
    <w:p w14:paraId="1B5F30A8" w14:textId="52944B73" w:rsidR="002B47E1" w:rsidRPr="002B47E1" w:rsidRDefault="002B47E1" w:rsidP="007065A0">
      <w:pPr>
        <w:pStyle w:val="Paragraphtext"/>
        <w:numPr>
          <w:ilvl w:val="0"/>
          <w:numId w:val="7"/>
        </w:numPr>
        <w:spacing w:after="120"/>
        <w:rPr>
          <w:sz w:val="22"/>
          <w:szCs w:val="22"/>
        </w:rPr>
      </w:pPr>
      <w:r w:rsidRPr="002B47E1">
        <w:rPr>
          <w:sz w:val="22"/>
          <w:szCs w:val="22"/>
        </w:rPr>
        <w:t xml:space="preserve">The Annual SAHMRI </w:t>
      </w:r>
      <w:r w:rsidR="00254F2F">
        <w:rPr>
          <w:sz w:val="22"/>
          <w:szCs w:val="22"/>
        </w:rPr>
        <w:t xml:space="preserve">Registry </w:t>
      </w:r>
      <w:r w:rsidRPr="002B47E1">
        <w:rPr>
          <w:sz w:val="22"/>
          <w:szCs w:val="22"/>
        </w:rPr>
        <w:t xml:space="preserve">Symposium </w:t>
      </w:r>
    </w:p>
    <w:p w14:paraId="2DDA4B1D" w14:textId="718B1B9E" w:rsidR="002B47E1" w:rsidRPr="002B47E1" w:rsidRDefault="002B47E1" w:rsidP="007065A0">
      <w:pPr>
        <w:pStyle w:val="Paragraphtext"/>
        <w:numPr>
          <w:ilvl w:val="0"/>
          <w:numId w:val="7"/>
        </w:numPr>
        <w:spacing w:after="120"/>
        <w:rPr>
          <w:sz w:val="22"/>
          <w:szCs w:val="22"/>
        </w:rPr>
      </w:pPr>
      <w:r w:rsidRPr="002B47E1">
        <w:rPr>
          <w:sz w:val="22"/>
          <w:szCs w:val="22"/>
        </w:rPr>
        <w:t xml:space="preserve">Regular Registry </w:t>
      </w:r>
      <w:r w:rsidRPr="00F84261">
        <w:rPr>
          <w:i/>
          <w:iCs/>
          <w:sz w:val="22"/>
          <w:szCs w:val="22"/>
        </w:rPr>
        <w:t>Special Interest Group</w:t>
      </w:r>
      <w:r w:rsidRPr="002B47E1">
        <w:rPr>
          <w:sz w:val="22"/>
          <w:szCs w:val="22"/>
        </w:rPr>
        <w:t xml:space="preserve"> webinars and meetings</w:t>
      </w:r>
    </w:p>
    <w:p w14:paraId="5B873ADA" w14:textId="395C5139" w:rsidR="00254F2F" w:rsidRPr="002B47E1" w:rsidRDefault="00254F2F" w:rsidP="007065A0">
      <w:pPr>
        <w:pStyle w:val="Paragraphtext"/>
        <w:numPr>
          <w:ilvl w:val="0"/>
          <w:numId w:val="7"/>
        </w:numPr>
        <w:spacing w:after="120" w:line="259" w:lineRule="auto"/>
        <w:rPr>
          <w:sz w:val="22"/>
          <w:szCs w:val="22"/>
        </w:rPr>
      </w:pPr>
      <w:r>
        <w:rPr>
          <w:sz w:val="22"/>
          <w:szCs w:val="22"/>
        </w:rPr>
        <w:t>Publishing a quarterly sector newsletter “The Benchmark”</w:t>
      </w:r>
    </w:p>
    <w:p w14:paraId="6000F0F7" w14:textId="2A0EDEBA" w:rsidR="00D748BD" w:rsidRDefault="002B47E1" w:rsidP="007065A0">
      <w:pPr>
        <w:pStyle w:val="Paragraphtext"/>
        <w:spacing w:after="120" w:line="259" w:lineRule="auto"/>
        <w:rPr>
          <w:sz w:val="22"/>
          <w:szCs w:val="22"/>
        </w:rPr>
      </w:pPr>
      <w:r w:rsidRPr="002B47E1">
        <w:rPr>
          <w:sz w:val="22"/>
          <w:szCs w:val="22"/>
        </w:rPr>
        <w:t xml:space="preserve">Monash University also conducted the first Annual CQR Survey in 2023. It is designed to better understand current registry practice and maturity and identify emerging issues in the sector. Findings were first presented at the 2023 ASM and will be published in April 2024. </w:t>
      </w:r>
    </w:p>
    <w:p w14:paraId="52886F63" w14:textId="402CEC57" w:rsidR="00523E40" w:rsidRPr="00F84261" w:rsidRDefault="006A5F45" w:rsidP="00523E40">
      <w:pPr>
        <w:pStyle w:val="Paragraphtext"/>
        <w:spacing w:after="120" w:line="259" w:lineRule="auto"/>
        <w:rPr>
          <w:sz w:val="22"/>
          <w:szCs w:val="22"/>
        </w:rPr>
      </w:pPr>
      <w:r w:rsidRPr="006A5F45">
        <w:rPr>
          <w:sz w:val="22"/>
          <w:szCs w:val="22"/>
        </w:rPr>
        <w:t xml:space="preserve">For more information, please contact </w:t>
      </w:r>
      <w:hyperlink r:id="rId19" w:history="1">
        <w:r w:rsidR="00BF5CAA" w:rsidRPr="00BF5CAA">
          <w:rPr>
            <w:rStyle w:val="Hyperlink"/>
            <w:sz w:val="22"/>
            <w:szCs w:val="22"/>
          </w:rPr>
          <w:t>acta@acta.au</w:t>
        </w:r>
      </w:hyperlink>
      <w:r w:rsidRPr="00BF5CAA">
        <w:rPr>
          <w:sz w:val="22"/>
          <w:szCs w:val="22"/>
        </w:rPr>
        <w:t xml:space="preserve">  </w:t>
      </w:r>
    </w:p>
    <w:p w14:paraId="1010181B" w14:textId="77777777" w:rsidR="00D748BD" w:rsidRPr="008733C0" w:rsidRDefault="00D748BD" w:rsidP="00D748BD">
      <w:pPr>
        <w:pStyle w:val="Heading2"/>
        <w:spacing w:before="120" w:after="120" w:line="259" w:lineRule="auto"/>
        <w:rPr>
          <w:b/>
          <w:bCs w:val="0"/>
        </w:rPr>
      </w:pPr>
      <w:r w:rsidRPr="008733C0">
        <w:rPr>
          <w:b/>
          <w:bCs w:val="0"/>
        </w:rPr>
        <w:t>Other News and events</w:t>
      </w:r>
    </w:p>
    <w:p w14:paraId="4801BDD2" w14:textId="1673A0A5" w:rsidR="006A5F45" w:rsidRDefault="00D748BD" w:rsidP="006A5F45">
      <w:pPr>
        <w:pStyle w:val="Paragraphtext"/>
        <w:numPr>
          <w:ilvl w:val="0"/>
          <w:numId w:val="4"/>
        </w:numPr>
        <w:spacing w:after="120" w:line="259" w:lineRule="auto"/>
        <w:rPr>
          <w:sz w:val="22"/>
          <w:szCs w:val="22"/>
        </w:rPr>
      </w:pPr>
      <w:r>
        <w:rPr>
          <w:sz w:val="22"/>
          <w:szCs w:val="22"/>
        </w:rPr>
        <w:t xml:space="preserve">The </w:t>
      </w:r>
      <w:r w:rsidRPr="000042DE">
        <w:rPr>
          <w:sz w:val="22"/>
          <w:szCs w:val="22"/>
        </w:rPr>
        <w:t>Medical Research Future Fund</w:t>
      </w:r>
      <w:r>
        <w:rPr>
          <w:sz w:val="22"/>
          <w:szCs w:val="22"/>
        </w:rPr>
        <w:t xml:space="preserve"> (MRFF)</w:t>
      </w:r>
      <w:r w:rsidRPr="000042DE">
        <w:rPr>
          <w:sz w:val="22"/>
          <w:szCs w:val="22"/>
        </w:rPr>
        <w:t xml:space="preserve"> Innovative Trials</w:t>
      </w:r>
      <w:r>
        <w:rPr>
          <w:sz w:val="22"/>
          <w:szCs w:val="22"/>
        </w:rPr>
        <w:t xml:space="preserve"> Grant Opportunity is now open. It includes </w:t>
      </w:r>
      <w:r w:rsidR="000154B3">
        <w:rPr>
          <w:sz w:val="22"/>
          <w:szCs w:val="22"/>
        </w:rPr>
        <w:t xml:space="preserve">funding for </w:t>
      </w:r>
      <w:r>
        <w:rPr>
          <w:sz w:val="22"/>
          <w:szCs w:val="22"/>
        </w:rPr>
        <w:t xml:space="preserve">projects </w:t>
      </w:r>
      <w:r w:rsidR="00A20C9F">
        <w:rPr>
          <w:sz w:val="22"/>
          <w:szCs w:val="22"/>
        </w:rPr>
        <w:t>that conduct</w:t>
      </w:r>
      <w:r>
        <w:rPr>
          <w:sz w:val="22"/>
          <w:szCs w:val="22"/>
        </w:rPr>
        <w:t xml:space="preserve"> </w:t>
      </w:r>
      <w:r w:rsidRPr="006F485A">
        <w:rPr>
          <w:sz w:val="22"/>
          <w:szCs w:val="22"/>
        </w:rPr>
        <w:t>registry-based randomised controlled trial</w:t>
      </w:r>
      <w:r>
        <w:rPr>
          <w:sz w:val="22"/>
          <w:szCs w:val="22"/>
        </w:rPr>
        <w:t xml:space="preserve">s. See </w:t>
      </w:r>
      <w:hyperlink r:id="rId20" w:history="1">
        <w:r w:rsidRPr="00CA0117">
          <w:rPr>
            <w:rStyle w:val="Hyperlink"/>
            <w:sz w:val="22"/>
            <w:szCs w:val="22"/>
          </w:rPr>
          <w:t>Grant Connect</w:t>
        </w:r>
      </w:hyperlink>
      <w:r>
        <w:rPr>
          <w:sz w:val="22"/>
          <w:szCs w:val="22"/>
        </w:rPr>
        <w:t xml:space="preserve"> for more information. </w:t>
      </w:r>
    </w:p>
    <w:p w14:paraId="7879F464" w14:textId="3D702CA8" w:rsidR="006A5F45" w:rsidRPr="006A5F45" w:rsidRDefault="006A5F45" w:rsidP="006A5F45">
      <w:pPr>
        <w:pStyle w:val="Paragraphtext"/>
        <w:numPr>
          <w:ilvl w:val="0"/>
          <w:numId w:val="4"/>
        </w:numPr>
        <w:spacing w:after="120" w:line="259" w:lineRule="auto"/>
        <w:rPr>
          <w:sz w:val="22"/>
          <w:szCs w:val="22"/>
        </w:rPr>
      </w:pPr>
      <w:r w:rsidRPr="006A5F45">
        <w:rPr>
          <w:sz w:val="22"/>
          <w:szCs w:val="22"/>
        </w:rPr>
        <w:t xml:space="preserve">The Australian Government’s </w:t>
      </w:r>
      <w:hyperlink r:id="rId21" w:history="1">
        <w:r w:rsidRPr="006A5F45">
          <w:rPr>
            <w:rStyle w:val="Hyperlink"/>
            <w:rFonts w:cstheme="minorHAnsi"/>
            <w:sz w:val="22"/>
            <w:szCs w:val="22"/>
          </w:rPr>
          <w:t>Digital Health Blueprint 2023 – 2033</w:t>
        </w:r>
      </w:hyperlink>
      <w:r w:rsidRPr="006A5F45">
        <w:rPr>
          <w:rFonts w:cstheme="minorHAnsi"/>
          <w:sz w:val="22"/>
          <w:szCs w:val="22"/>
        </w:rPr>
        <w:t> and accompanying </w:t>
      </w:r>
      <w:hyperlink r:id="rId22" w:history="1">
        <w:r w:rsidRPr="006A5F45">
          <w:rPr>
            <w:rStyle w:val="Hyperlink"/>
            <w:rFonts w:cstheme="minorHAnsi"/>
            <w:sz w:val="22"/>
            <w:szCs w:val="22"/>
          </w:rPr>
          <w:t>Action Plan</w:t>
        </w:r>
      </w:hyperlink>
      <w:r w:rsidRPr="006A5F45">
        <w:rPr>
          <w:rFonts w:cstheme="minorHAnsi"/>
          <w:sz w:val="22"/>
          <w:szCs w:val="22"/>
        </w:rPr>
        <w:t xml:space="preserve"> have been published. </w:t>
      </w:r>
    </w:p>
    <w:p w14:paraId="6903C51B" w14:textId="77777777" w:rsidR="00407154" w:rsidRPr="007065A0" w:rsidRDefault="00407154" w:rsidP="0028162F">
      <w:pPr>
        <w:pStyle w:val="Paragraphtext"/>
        <w:spacing w:after="120" w:line="259" w:lineRule="auto"/>
        <w:rPr>
          <w:sz w:val="4"/>
          <w:szCs w:val="4"/>
        </w:rPr>
      </w:pPr>
    </w:p>
    <w:bookmarkEnd w:id="1"/>
    <w:p w14:paraId="69E343A4" w14:textId="374B5011" w:rsidR="002C341A" w:rsidRPr="007065A0" w:rsidRDefault="002C341A" w:rsidP="007065A0">
      <w:pPr>
        <w:pStyle w:val="Heading2"/>
        <w:spacing w:before="120" w:after="120" w:line="259" w:lineRule="auto"/>
        <w:rPr>
          <w:b/>
          <w:bCs w:val="0"/>
        </w:rPr>
      </w:pPr>
      <w:r w:rsidRPr="00646C38">
        <w:rPr>
          <w:b/>
          <w:bCs w:val="0"/>
        </w:rPr>
        <w:t>Contact</w:t>
      </w:r>
    </w:p>
    <w:p w14:paraId="4EA6CD68" w14:textId="39D07150" w:rsidR="002C341A" w:rsidRDefault="00407154" w:rsidP="007065A0">
      <w:pPr>
        <w:spacing w:before="120" w:after="120" w:line="259" w:lineRule="auto"/>
        <w:rPr>
          <w:szCs w:val="22"/>
        </w:rPr>
      </w:pPr>
      <w:r>
        <w:rPr>
          <w:szCs w:val="22"/>
        </w:rPr>
        <w:t>P</w:t>
      </w:r>
      <w:r w:rsidR="002C341A" w:rsidRPr="004552FD">
        <w:rPr>
          <w:szCs w:val="22"/>
        </w:rPr>
        <w:t xml:space="preserve">ease email the CQR Policy Inbox at </w:t>
      </w:r>
      <w:hyperlink r:id="rId23" w:history="1">
        <w:r w:rsidR="002C341A" w:rsidRPr="005E4338">
          <w:rPr>
            <w:rStyle w:val="Hyperlink"/>
            <w:color w:val="44546A" w:themeColor="text2"/>
            <w:szCs w:val="22"/>
          </w:rPr>
          <w:t>cqrpolicy@health.gov.au</w:t>
        </w:r>
      </w:hyperlink>
      <w:r w:rsidR="002C341A" w:rsidRPr="005E4338">
        <w:rPr>
          <w:color w:val="44546A" w:themeColor="text2"/>
          <w:szCs w:val="22"/>
        </w:rPr>
        <w:t>.</w:t>
      </w:r>
    </w:p>
    <w:p w14:paraId="4D23F536" w14:textId="77777777" w:rsidR="00F80A18" w:rsidRDefault="00F80A18" w:rsidP="008733C0">
      <w:pPr>
        <w:spacing w:before="120" w:after="120" w:line="259" w:lineRule="auto"/>
      </w:pPr>
    </w:p>
    <w:sectPr w:rsidR="00F80A18" w:rsidSect="00D976DC">
      <w:headerReference w:type="even" r:id="rId24"/>
      <w:headerReference w:type="default" r:id="rId25"/>
      <w:footerReference w:type="even" r:id="rId26"/>
      <w:footerReference w:type="default" r:id="rId27"/>
      <w:headerReference w:type="first" r:id="rId28"/>
      <w:footerReference w:type="first" r:id="rId29"/>
      <w:pgSz w:w="11906" w:h="16838"/>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A494" w14:textId="77777777" w:rsidR="00DA60ED" w:rsidRDefault="00DA60ED">
      <w:r>
        <w:separator/>
      </w:r>
    </w:p>
  </w:endnote>
  <w:endnote w:type="continuationSeparator" w:id="0">
    <w:p w14:paraId="161FB94D" w14:textId="77777777" w:rsidR="00DA60ED" w:rsidRDefault="00DA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7BD6" w14:textId="77777777" w:rsidR="00E41733" w:rsidRDefault="00E41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C0BA" w14:textId="77777777" w:rsidR="00E41733" w:rsidRDefault="00E41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7467" w14:textId="77777777" w:rsidR="00E41733" w:rsidRDefault="00E41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C895" w14:textId="77777777" w:rsidR="00DA60ED" w:rsidRDefault="00DA60ED">
      <w:r>
        <w:separator/>
      </w:r>
    </w:p>
  </w:footnote>
  <w:footnote w:type="continuationSeparator" w:id="0">
    <w:p w14:paraId="734208BC" w14:textId="77777777" w:rsidR="00DA60ED" w:rsidRDefault="00DA6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3553" w14:textId="77777777" w:rsidR="00E41733" w:rsidRDefault="00E41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5E1F" w14:textId="3C6BBB94" w:rsidR="00E41733" w:rsidRDefault="00BB3E4F">
    <w:pPr>
      <w:pStyle w:val="Header"/>
      <w:pBdr>
        <w:bottom w:val="single" w:sz="4" w:space="1" w:color="D9D9D9" w:themeColor="background1" w:themeShade="D9"/>
      </w:pBdr>
      <w:jc w:val="right"/>
      <w:rPr>
        <w:b/>
        <w:bCs/>
      </w:rPr>
    </w:pPr>
    <w:sdt>
      <w:sdtPr>
        <w:rPr>
          <w:color w:val="7F7F7F" w:themeColor="background1" w:themeShade="7F"/>
          <w:spacing w:val="60"/>
        </w:rPr>
        <w:id w:val="-1706247010"/>
        <w:docPartObj>
          <w:docPartGallery w:val="Page Numbers (Top of Page)"/>
          <w:docPartUnique/>
        </w:docPartObj>
      </w:sdtPr>
      <w:sdtEndPr>
        <w:rPr>
          <w:b/>
          <w:bCs/>
          <w:noProof/>
          <w:color w:val="auto"/>
          <w:spacing w:val="0"/>
        </w:rPr>
      </w:sdtEndPr>
      <w:sdtContent>
        <w:r w:rsidR="00C6404A">
          <w:rPr>
            <w:color w:val="7F7F7F" w:themeColor="background1" w:themeShade="7F"/>
            <w:spacing w:val="60"/>
          </w:rPr>
          <w:t>Page</w:t>
        </w:r>
        <w:r w:rsidR="00C6404A">
          <w:t xml:space="preserve"> | </w:t>
        </w:r>
        <w:r w:rsidR="00C6404A">
          <w:fldChar w:fldCharType="begin"/>
        </w:r>
        <w:r w:rsidR="00C6404A">
          <w:instrText xml:space="preserve"> PAGE   \* MERGEFORMAT </w:instrText>
        </w:r>
        <w:r w:rsidR="00C6404A">
          <w:fldChar w:fldCharType="separate"/>
        </w:r>
        <w:r w:rsidR="00C6404A">
          <w:rPr>
            <w:b/>
            <w:bCs/>
            <w:noProof/>
          </w:rPr>
          <w:t>2</w:t>
        </w:r>
        <w:r w:rsidR="00C6404A">
          <w:rPr>
            <w:b/>
            <w:bCs/>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0A86" w14:textId="77777777" w:rsidR="00E41733" w:rsidRDefault="00E41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769"/>
    <w:multiLevelType w:val="hybridMultilevel"/>
    <w:tmpl w:val="C10ED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323874"/>
    <w:multiLevelType w:val="hybridMultilevel"/>
    <w:tmpl w:val="F4FAC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821A97"/>
    <w:multiLevelType w:val="hybridMultilevel"/>
    <w:tmpl w:val="E1AAE5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6401115"/>
    <w:multiLevelType w:val="hybridMultilevel"/>
    <w:tmpl w:val="78CC9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5A0D07"/>
    <w:multiLevelType w:val="hybridMultilevel"/>
    <w:tmpl w:val="FF5E8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3B201EC"/>
    <w:multiLevelType w:val="hybridMultilevel"/>
    <w:tmpl w:val="F2E02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725C41"/>
    <w:multiLevelType w:val="hybridMultilevel"/>
    <w:tmpl w:val="FC0E5B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4A6D6C"/>
    <w:multiLevelType w:val="hybridMultilevel"/>
    <w:tmpl w:val="FD368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573C2D"/>
    <w:multiLevelType w:val="hybridMultilevel"/>
    <w:tmpl w:val="9D2A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9442964">
    <w:abstractNumId w:val="6"/>
  </w:num>
  <w:num w:numId="2" w16cid:durableId="733090678">
    <w:abstractNumId w:val="7"/>
  </w:num>
  <w:num w:numId="3" w16cid:durableId="1553610653">
    <w:abstractNumId w:val="8"/>
  </w:num>
  <w:num w:numId="4" w16cid:durableId="1144127611">
    <w:abstractNumId w:val="1"/>
  </w:num>
  <w:num w:numId="5" w16cid:durableId="736827211">
    <w:abstractNumId w:val="0"/>
  </w:num>
  <w:num w:numId="6" w16cid:durableId="131338109">
    <w:abstractNumId w:val="5"/>
  </w:num>
  <w:num w:numId="7" w16cid:durableId="1618020286">
    <w:abstractNumId w:val="3"/>
  </w:num>
  <w:num w:numId="8" w16cid:durableId="1570076792">
    <w:abstractNumId w:val="2"/>
  </w:num>
  <w:num w:numId="9" w16cid:durableId="544489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1A"/>
    <w:rsid w:val="00001426"/>
    <w:rsid w:val="000042DE"/>
    <w:rsid w:val="000045D0"/>
    <w:rsid w:val="00006C77"/>
    <w:rsid w:val="00007C86"/>
    <w:rsid w:val="000154B3"/>
    <w:rsid w:val="000501A7"/>
    <w:rsid w:val="000534DC"/>
    <w:rsid w:val="00092B04"/>
    <w:rsid w:val="000C2474"/>
    <w:rsid w:val="000D7EF5"/>
    <w:rsid w:val="000F515E"/>
    <w:rsid w:val="0014217F"/>
    <w:rsid w:val="001519B9"/>
    <w:rsid w:val="00152F95"/>
    <w:rsid w:val="00155712"/>
    <w:rsid w:val="002028A1"/>
    <w:rsid w:val="0020377C"/>
    <w:rsid w:val="00254F2F"/>
    <w:rsid w:val="00263563"/>
    <w:rsid w:val="0028162F"/>
    <w:rsid w:val="00293D28"/>
    <w:rsid w:val="002B47E1"/>
    <w:rsid w:val="002C341A"/>
    <w:rsid w:val="002D5DD7"/>
    <w:rsid w:val="00303F29"/>
    <w:rsid w:val="00325D0F"/>
    <w:rsid w:val="00337AA1"/>
    <w:rsid w:val="0034375C"/>
    <w:rsid w:val="003505D8"/>
    <w:rsid w:val="00352735"/>
    <w:rsid w:val="00357650"/>
    <w:rsid w:val="003B463B"/>
    <w:rsid w:val="003D34D3"/>
    <w:rsid w:val="003E599E"/>
    <w:rsid w:val="003F3970"/>
    <w:rsid w:val="00407154"/>
    <w:rsid w:val="0048732E"/>
    <w:rsid w:val="004E6E8D"/>
    <w:rsid w:val="0050103B"/>
    <w:rsid w:val="005108EC"/>
    <w:rsid w:val="00523E40"/>
    <w:rsid w:val="00527867"/>
    <w:rsid w:val="005529E7"/>
    <w:rsid w:val="00566BDF"/>
    <w:rsid w:val="0056787E"/>
    <w:rsid w:val="00577F32"/>
    <w:rsid w:val="005A354E"/>
    <w:rsid w:val="005B4B65"/>
    <w:rsid w:val="005C678A"/>
    <w:rsid w:val="005E0015"/>
    <w:rsid w:val="005E2605"/>
    <w:rsid w:val="005E3609"/>
    <w:rsid w:val="005F3194"/>
    <w:rsid w:val="0063115B"/>
    <w:rsid w:val="00646410"/>
    <w:rsid w:val="00663954"/>
    <w:rsid w:val="00665617"/>
    <w:rsid w:val="00674ABB"/>
    <w:rsid w:val="006A4F98"/>
    <w:rsid w:val="006A5F45"/>
    <w:rsid w:val="006B2A6E"/>
    <w:rsid w:val="006B3039"/>
    <w:rsid w:val="006C0CC7"/>
    <w:rsid w:val="006D1FB5"/>
    <w:rsid w:val="006D3E17"/>
    <w:rsid w:val="006D482E"/>
    <w:rsid w:val="006F485A"/>
    <w:rsid w:val="007065A0"/>
    <w:rsid w:val="00706E19"/>
    <w:rsid w:val="00710E13"/>
    <w:rsid w:val="007504F0"/>
    <w:rsid w:val="00752026"/>
    <w:rsid w:val="00763663"/>
    <w:rsid w:val="007660DC"/>
    <w:rsid w:val="007A5C99"/>
    <w:rsid w:val="007C30DC"/>
    <w:rsid w:val="00817F0B"/>
    <w:rsid w:val="00844374"/>
    <w:rsid w:val="00857459"/>
    <w:rsid w:val="008733C0"/>
    <w:rsid w:val="008C78D8"/>
    <w:rsid w:val="00917C36"/>
    <w:rsid w:val="009361E7"/>
    <w:rsid w:val="0097735F"/>
    <w:rsid w:val="00980961"/>
    <w:rsid w:val="0098496E"/>
    <w:rsid w:val="009876C8"/>
    <w:rsid w:val="00995E21"/>
    <w:rsid w:val="009A310C"/>
    <w:rsid w:val="009B0E0C"/>
    <w:rsid w:val="009D1C00"/>
    <w:rsid w:val="009E1D36"/>
    <w:rsid w:val="00A04777"/>
    <w:rsid w:val="00A20C9F"/>
    <w:rsid w:val="00A353FE"/>
    <w:rsid w:val="00A35BD9"/>
    <w:rsid w:val="00A62BE6"/>
    <w:rsid w:val="00A825AE"/>
    <w:rsid w:val="00A87E80"/>
    <w:rsid w:val="00A9389C"/>
    <w:rsid w:val="00A97ADB"/>
    <w:rsid w:val="00AB2439"/>
    <w:rsid w:val="00AB7A09"/>
    <w:rsid w:val="00AC21AB"/>
    <w:rsid w:val="00AC37AD"/>
    <w:rsid w:val="00B10CC5"/>
    <w:rsid w:val="00B409CE"/>
    <w:rsid w:val="00B40EA3"/>
    <w:rsid w:val="00B523E6"/>
    <w:rsid w:val="00B55A01"/>
    <w:rsid w:val="00B7740F"/>
    <w:rsid w:val="00B814CE"/>
    <w:rsid w:val="00B925BF"/>
    <w:rsid w:val="00BB3E4F"/>
    <w:rsid w:val="00BB5132"/>
    <w:rsid w:val="00BC7750"/>
    <w:rsid w:val="00BF5CAA"/>
    <w:rsid w:val="00C14576"/>
    <w:rsid w:val="00C17E81"/>
    <w:rsid w:val="00C23F9A"/>
    <w:rsid w:val="00C406E6"/>
    <w:rsid w:val="00C6404A"/>
    <w:rsid w:val="00CA0117"/>
    <w:rsid w:val="00CA73F4"/>
    <w:rsid w:val="00CB3E24"/>
    <w:rsid w:val="00CD2FD4"/>
    <w:rsid w:val="00CE17D5"/>
    <w:rsid w:val="00CF1D39"/>
    <w:rsid w:val="00D0662B"/>
    <w:rsid w:val="00D10AEB"/>
    <w:rsid w:val="00D10F2A"/>
    <w:rsid w:val="00D1671A"/>
    <w:rsid w:val="00D3027E"/>
    <w:rsid w:val="00D707D2"/>
    <w:rsid w:val="00D748BD"/>
    <w:rsid w:val="00D75D43"/>
    <w:rsid w:val="00DA60ED"/>
    <w:rsid w:val="00DA6CD7"/>
    <w:rsid w:val="00DE5873"/>
    <w:rsid w:val="00E41733"/>
    <w:rsid w:val="00E43816"/>
    <w:rsid w:val="00E50386"/>
    <w:rsid w:val="00E54D93"/>
    <w:rsid w:val="00E910A4"/>
    <w:rsid w:val="00E91D3A"/>
    <w:rsid w:val="00EC0C23"/>
    <w:rsid w:val="00EE6C52"/>
    <w:rsid w:val="00EF36AC"/>
    <w:rsid w:val="00F177D9"/>
    <w:rsid w:val="00F21435"/>
    <w:rsid w:val="00F27BA9"/>
    <w:rsid w:val="00F80A18"/>
    <w:rsid w:val="00F84261"/>
    <w:rsid w:val="00F95915"/>
    <w:rsid w:val="00FC0721"/>
    <w:rsid w:val="00FC31E4"/>
    <w:rsid w:val="00FF5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8A175"/>
  <w15:chartTrackingRefBased/>
  <w15:docId w15:val="{31AC6E02-5D12-4E8A-A889-F4AD3C5B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5C82"/>
    <w:pPr>
      <w:spacing w:after="0" w:line="240" w:lineRule="auto"/>
    </w:pPr>
    <w:rPr>
      <w:rFonts w:ascii="Arial" w:eastAsia="Times New Roman" w:hAnsi="Arial" w:cs="Times New Roman"/>
      <w:kern w:val="0"/>
      <w:szCs w:val="24"/>
      <w14:ligatures w14:val="none"/>
    </w:rPr>
  </w:style>
  <w:style w:type="paragraph" w:styleId="Heading1">
    <w:name w:val="heading 1"/>
    <w:basedOn w:val="Normal"/>
    <w:next w:val="Normal"/>
    <w:link w:val="Heading1Char"/>
    <w:uiPriority w:val="9"/>
    <w:qFormat/>
    <w:rsid w:val="002B47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Paragraphtext"/>
    <w:link w:val="Heading2Char"/>
    <w:qFormat/>
    <w:rsid w:val="002C341A"/>
    <w:pPr>
      <w:keepNext/>
      <w:spacing w:before="240" w:after="60" w:line="240" w:lineRule="auto"/>
      <w:outlineLvl w:val="1"/>
    </w:pPr>
    <w:rPr>
      <w:rFonts w:ascii="Arial" w:eastAsia="Times New Roman" w:hAnsi="Arial" w:cs="Arial"/>
      <w:bCs/>
      <w:iCs/>
      <w:color w:val="358189"/>
      <w:kern w:val="0"/>
      <w:sz w:val="32"/>
      <w:szCs w:val="28"/>
      <w14:ligatures w14:val="none"/>
    </w:rPr>
  </w:style>
  <w:style w:type="paragraph" w:styleId="Heading3">
    <w:name w:val="heading 3"/>
    <w:basedOn w:val="Normal"/>
    <w:next w:val="Normal"/>
    <w:link w:val="Heading3Char"/>
    <w:uiPriority w:val="9"/>
    <w:unhideWhenUsed/>
    <w:qFormat/>
    <w:rsid w:val="00F27BA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341A"/>
    <w:rPr>
      <w:rFonts w:ascii="Arial" w:eastAsia="Times New Roman" w:hAnsi="Arial" w:cs="Arial"/>
      <w:bCs/>
      <w:iCs/>
      <w:color w:val="358189"/>
      <w:kern w:val="0"/>
      <w:sz w:val="32"/>
      <w:szCs w:val="28"/>
      <w14:ligatures w14:val="none"/>
    </w:rPr>
  </w:style>
  <w:style w:type="paragraph" w:customStyle="1" w:styleId="Paragraphtext">
    <w:name w:val="Paragraph text"/>
    <w:basedOn w:val="Normal"/>
    <w:qFormat/>
    <w:rsid w:val="002C341A"/>
    <w:pPr>
      <w:spacing w:before="120" w:after="60"/>
    </w:pPr>
    <w:rPr>
      <w:color w:val="000000" w:themeColor="text1"/>
      <w:sz w:val="21"/>
    </w:rPr>
  </w:style>
  <w:style w:type="paragraph" w:styleId="Title">
    <w:name w:val="Title"/>
    <w:basedOn w:val="Normal"/>
    <w:next w:val="Paragraphtext"/>
    <w:link w:val="TitleChar"/>
    <w:qFormat/>
    <w:rsid w:val="002C341A"/>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2C341A"/>
    <w:rPr>
      <w:rFonts w:ascii="Arial" w:eastAsiaTheme="majorEastAsia" w:hAnsi="Arial" w:cstheme="majorBidi"/>
      <w:color w:val="3F4A75"/>
      <w:kern w:val="28"/>
      <w:sz w:val="48"/>
      <w:szCs w:val="52"/>
      <w14:ligatures w14:val="none"/>
    </w:rPr>
  </w:style>
  <w:style w:type="paragraph" w:styleId="ListParagraph">
    <w:name w:val="List Paragraph"/>
    <w:aliases w:val="L,List Paragraph1,List Paragraph11,Recommendation,bullet point list,Bullet point,Bullets,CV text,Dot pt,F5 List Paragraph,FooterText,List Paragraph111,List Paragraph2,Medium Grid 1 - Accent 21,NAST Quote,NFP GP Bulleted List,列,Body text"/>
    <w:basedOn w:val="Normal"/>
    <w:link w:val="ListParagraphChar"/>
    <w:uiPriority w:val="34"/>
    <w:qFormat/>
    <w:rsid w:val="002C341A"/>
    <w:pPr>
      <w:ind w:left="720"/>
      <w:contextualSpacing/>
    </w:pPr>
  </w:style>
  <w:style w:type="paragraph" w:styleId="Header">
    <w:name w:val="header"/>
    <w:basedOn w:val="Normal"/>
    <w:link w:val="HeaderChar"/>
    <w:uiPriority w:val="99"/>
    <w:qFormat/>
    <w:rsid w:val="002C341A"/>
    <w:pPr>
      <w:tabs>
        <w:tab w:val="center" w:pos="4513"/>
        <w:tab w:val="right" w:pos="9026"/>
      </w:tabs>
    </w:pPr>
  </w:style>
  <w:style w:type="character" w:customStyle="1" w:styleId="HeaderChar">
    <w:name w:val="Header Char"/>
    <w:basedOn w:val="DefaultParagraphFont"/>
    <w:link w:val="Header"/>
    <w:uiPriority w:val="99"/>
    <w:rsid w:val="002C341A"/>
    <w:rPr>
      <w:rFonts w:ascii="Arial" w:eastAsia="Times New Roman" w:hAnsi="Arial" w:cs="Times New Roman"/>
      <w:kern w:val="0"/>
      <w:szCs w:val="24"/>
      <w14:ligatures w14:val="none"/>
    </w:rPr>
  </w:style>
  <w:style w:type="paragraph" w:styleId="Footer">
    <w:name w:val="footer"/>
    <w:basedOn w:val="Normal"/>
    <w:link w:val="FooterChar"/>
    <w:uiPriority w:val="99"/>
    <w:qFormat/>
    <w:rsid w:val="002C341A"/>
    <w:pPr>
      <w:tabs>
        <w:tab w:val="center" w:pos="4513"/>
        <w:tab w:val="right" w:pos="9026"/>
      </w:tabs>
    </w:pPr>
    <w:rPr>
      <w:sz w:val="20"/>
    </w:rPr>
  </w:style>
  <w:style w:type="character" w:customStyle="1" w:styleId="FooterChar">
    <w:name w:val="Footer Char"/>
    <w:basedOn w:val="DefaultParagraphFont"/>
    <w:link w:val="Footer"/>
    <w:uiPriority w:val="99"/>
    <w:rsid w:val="002C341A"/>
    <w:rPr>
      <w:rFonts w:ascii="Arial" w:eastAsia="Times New Roman" w:hAnsi="Arial" w:cs="Times New Roman"/>
      <w:kern w:val="0"/>
      <w:sz w:val="20"/>
      <w:szCs w:val="24"/>
      <w14:ligatures w14:val="none"/>
    </w:rPr>
  </w:style>
  <w:style w:type="character" w:styleId="Hyperlink">
    <w:name w:val="Hyperlink"/>
    <w:basedOn w:val="DefaultParagraphFont"/>
    <w:uiPriority w:val="99"/>
    <w:qFormat/>
    <w:rsid w:val="002C341A"/>
    <w:rPr>
      <w:color w:val="0563C1" w:themeColor="hyperlink"/>
      <w:u w:val="single"/>
    </w:rPr>
  </w:style>
  <w:style w:type="paragraph" w:customStyle="1" w:styleId="Intropara">
    <w:name w:val="Intro para"/>
    <w:basedOn w:val="Normal"/>
    <w:rsid w:val="002C341A"/>
    <w:pPr>
      <w:spacing w:before="480" w:after="240" w:line="400" w:lineRule="exact"/>
    </w:pPr>
    <w:rPr>
      <w:rFonts w:eastAsiaTheme="minorHAnsi"/>
      <w:color w:val="358189"/>
      <w:sz w:val="28"/>
    </w:rPr>
  </w:style>
  <w:style w:type="character" w:customStyle="1" w:styleId="ListParagraphChar">
    <w:name w:val="List Paragraph Char"/>
    <w:aliases w:val="L Char,List Paragraph1 Char,List Paragraph11 Char,Recommendation Char,bullet point list Char,Bullet point Char,Bullets Char,CV text Char,Dot pt Char,F5 List Paragraph Char,FooterText Char,List Paragraph111 Char,List Paragraph2 Char"/>
    <w:basedOn w:val="DefaultParagraphFont"/>
    <w:link w:val="ListParagraph"/>
    <w:uiPriority w:val="34"/>
    <w:qFormat/>
    <w:locked/>
    <w:rsid w:val="002C341A"/>
    <w:rPr>
      <w:rFonts w:ascii="Arial" w:eastAsia="Times New Roman" w:hAnsi="Arial" w:cs="Times New Roman"/>
      <w:kern w:val="0"/>
      <w:szCs w:val="24"/>
      <w14:ligatures w14:val="none"/>
    </w:rPr>
  </w:style>
  <w:style w:type="character" w:styleId="CommentReference">
    <w:name w:val="annotation reference"/>
    <w:basedOn w:val="DefaultParagraphFont"/>
    <w:uiPriority w:val="99"/>
    <w:semiHidden/>
    <w:unhideWhenUsed/>
    <w:rsid w:val="002C341A"/>
    <w:rPr>
      <w:sz w:val="16"/>
      <w:szCs w:val="16"/>
    </w:rPr>
  </w:style>
  <w:style w:type="paragraph" w:styleId="CommentText">
    <w:name w:val="annotation text"/>
    <w:basedOn w:val="Normal"/>
    <w:link w:val="CommentTextChar"/>
    <w:uiPriority w:val="99"/>
    <w:unhideWhenUsed/>
    <w:rsid w:val="002C341A"/>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C341A"/>
    <w:rPr>
      <w:rFonts w:eastAsiaTheme="minorEastAsia"/>
      <w:kern w:val="0"/>
      <w:sz w:val="20"/>
      <w:szCs w:val="20"/>
      <w14:ligatures w14:val="none"/>
    </w:rPr>
  </w:style>
  <w:style w:type="character" w:styleId="UnresolvedMention">
    <w:name w:val="Unresolved Mention"/>
    <w:basedOn w:val="DefaultParagraphFont"/>
    <w:uiPriority w:val="99"/>
    <w:semiHidden/>
    <w:unhideWhenUsed/>
    <w:rsid w:val="002C341A"/>
    <w:rPr>
      <w:color w:val="605E5C"/>
      <w:shd w:val="clear" w:color="auto" w:fill="E1DFDD"/>
    </w:rPr>
  </w:style>
  <w:style w:type="table" w:styleId="TableGrid">
    <w:name w:val="Table Grid"/>
    <w:basedOn w:val="TableNormal"/>
    <w:uiPriority w:val="59"/>
    <w:rsid w:val="005E001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47E1"/>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F27BA9"/>
    <w:rPr>
      <w:rFonts w:asciiTheme="majorHAnsi" w:eastAsiaTheme="majorEastAsia" w:hAnsiTheme="majorHAnsi" w:cstheme="majorBidi"/>
      <w:color w:val="1F3763" w:themeColor="accent1" w:themeShade="7F"/>
      <w:kern w:val="0"/>
      <w:sz w:val="24"/>
      <w:szCs w:val="24"/>
      <w14:ligatures w14:val="none"/>
    </w:rPr>
  </w:style>
  <w:style w:type="paragraph" w:styleId="NoSpacing">
    <w:name w:val="No Spacing"/>
    <w:uiPriority w:val="1"/>
    <w:qFormat/>
    <w:rsid w:val="00F27BA9"/>
    <w:pPr>
      <w:spacing w:after="0" w:line="240" w:lineRule="auto"/>
    </w:pPr>
    <w:rPr>
      <w:rFonts w:ascii="Arial" w:eastAsia="Times New Roman" w:hAnsi="Arial" w:cs="Times New Roman"/>
      <w:kern w:val="0"/>
      <w:szCs w:val="24"/>
      <w14:ligatures w14:val="none"/>
    </w:rPr>
  </w:style>
  <w:style w:type="paragraph" w:styleId="CommentSubject">
    <w:name w:val="annotation subject"/>
    <w:basedOn w:val="CommentText"/>
    <w:next w:val="CommentText"/>
    <w:link w:val="CommentSubjectChar"/>
    <w:uiPriority w:val="99"/>
    <w:semiHidden/>
    <w:unhideWhenUsed/>
    <w:rsid w:val="00D10AEB"/>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D10AEB"/>
    <w:rPr>
      <w:rFonts w:ascii="Arial" w:eastAsia="Times New Roman" w:hAnsi="Arial" w:cs="Times New Roman"/>
      <w:b/>
      <w:bCs/>
      <w:kern w:val="0"/>
      <w:sz w:val="20"/>
      <w:szCs w:val="20"/>
      <w14:ligatures w14:val="none"/>
    </w:rPr>
  </w:style>
  <w:style w:type="paragraph" w:styleId="Revision">
    <w:name w:val="Revision"/>
    <w:hidden/>
    <w:uiPriority w:val="99"/>
    <w:semiHidden/>
    <w:rsid w:val="005B4B65"/>
    <w:pPr>
      <w:spacing w:after="0" w:line="240" w:lineRule="auto"/>
    </w:pPr>
    <w:rPr>
      <w:rFonts w:ascii="Arial" w:eastAsia="Times New Roman" w:hAnsi="Arial" w:cs="Times New Roman"/>
      <w:kern w:val="0"/>
      <w:szCs w:val="24"/>
      <w14:ligatures w14:val="none"/>
    </w:rPr>
  </w:style>
  <w:style w:type="character" w:styleId="FollowedHyperlink">
    <w:name w:val="FollowedHyperlink"/>
    <w:basedOn w:val="DefaultParagraphFont"/>
    <w:uiPriority w:val="99"/>
    <w:semiHidden/>
    <w:unhideWhenUsed/>
    <w:rsid w:val="007A5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egistrycentre@sahmri.com" TargetMode="External"/><Relationship Id="rId18" Type="http://schemas.openxmlformats.org/officeDocument/2006/relationships/hyperlink" Target="mailto:med-clinicalregistries@monash.ed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health.gov.au/resources/publications/the-digital-health-blueprint-and-action-plan-2023-2033" TargetMode="External"/><Relationship Id="rId7" Type="http://schemas.openxmlformats.org/officeDocument/2006/relationships/image" Target="media/image1.jpeg"/><Relationship Id="rId12" Type="http://schemas.openxmlformats.org/officeDocument/2006/relationships/hyperlink" Target="https://www.health.gov.au/our-work/national-clinical-quality-registry-program?utm_source=health.gov.au&amp;utm_medium=callout-auto-custom&amp;utm_campaign=digital_transformation" TargetMode="External"/><Relationship Id="rId17" Type="http://schemas.openxmlformats.org/officeDocument/2006/relationships/hyperlink" Target="mailto:registrycentre@sahmri.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tsharni.zazryn@monash.edu" TargetMode="External"/><Relationship Id="rId20" Type="http://schemas.openxmlformats.org/officeDocument/2006/relationships/hyperlink" Target="https://www.grants.gov.au/Go/Show?GoUuid=259BD7EA-7EA6-4076-8C35-787E203944C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nders.gov.a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health.gov.au/resources/publications/clinical-quality-registries-four-key-benefits-for-your-health?language=en" TargetMode="External"/><Relationship Id="rId23" Type="http://schemas.openxmlformats.org/officeDocument/2006/relationships/hyperlink" Target="mailto:cqrpolicy@health.gov.au" TargetMode="External"/><Relationship Id="rId28" Type="http://schemas.openxmlformats.org/officeDocument/2006/relationships/header" Target="header3.xml"/><Relationship Id="rId10" Type="http://schemas.openxmlformats.org/officeDocument/2006/relationships/hyperlink" Target="https://www.health.gov.au/resources/publications/a-national-strategy-for-clinical-quality-registries-and-virtual-registries-2020-2030" TargetMode="External"/><Relationship Id="rId19" Type="http://schemas.openxmlformats.org/officeDocument/2006/relationships/hyperlink" Target="mailto:acta@acta.a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png@01D545EF.D584D410" TargetMode="External"/><Relationship Id="rId14" Type="http://schemas.openxmlformats.org/officeDocument/2006/relationships/hyperlink" Target="https://anzhfr.org/resourcesforpatients/" TargetMode="External"/><Relationship Id="rId22" Type="http://schemas.openxmlformats.org/officeDocument/2006/relationships/hyperlink" Target="https://www.health.gov.au/resources/publications/the-digital-health-blueprint-and-action-plan-2023-203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1348</Words>
  <Characters>7838</Characters>
  <Application>Microsoft Office Word</Application>
  <DocSecurity>4</DocSecurity>
  <Lines>126</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Sally</dc:creator>
  <cp:keywords/>
  <dc:description/>
  <cp:lastModifiedBy>COSTIN, Siobhan</cp:lastModifiedBy>
  <cp:revision>2</cp:revision>
  <dcterms:created xsi:type="dcterms:W3CDTF">2024-02-28T01:19:00Z</dcterms:created>
  <dcterms:modified xsi:type="dcterms:W3CDTF">2024-02-28T01:19:00Z</dcterms:modified>
</cp:coreProperties>
</file>