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D5759" w14:textId="1B70EA30" w:rsidR="00E17AA8" w:rsidRPr="003751E9" w:rsidRDefault="007C2DB4" w:rsidP="00F43310">
      <w:pPr>
        <w:pStyle w:val="Heading1"/>
      </w:pPr>
      <w:bookmarkStart w:id="0" w:name="_Toc158731833"/>
      <w:bookmarkStart w:id="1" w:name="_Toc158732160"/>
      <w:r w:rsidRPr="007C2DB4">
        <w:t>Service and Support Portal User Guide – Advanced outlet and service management: transferring clients and services</w:t>
      </w:r>
      <w:bookmarkEnd w:id="0"/>
      <w:bookmarkEnd w:id="1"/>
    </w:p>
    <w:p w14:paraId="2E33495F" w14:textId="77777777" w:rsidR="00F90A7E" w:rsidRPr="00F43310" w:rsidRDefault="00F90A7E" w:rsidP="00F43310">
      <w:pPr>
        <w:pStyle w:val="IntroPara"/>
      </w:pPr>
      <w:r w:rsidRPr="00F43310">
        <w:t>This guide is designed for:</w:t>
      </w:r>
    </w:p>
    <w:p w14:paraId="009291EA" w14:textId="77777777" w:rsidR="00F90A7E" w:rsidRPr="00F43310" w:rsidRDefault="00F90A7E" w:rsidP="00F43310">
      <w:pPr>
        <w:pStyle w:val="Introparagraphlistbullet"/>
      </w:pPr>
      <w:r w:rsidRPr="00F43310">
        <w:t>Administrators within the My Aged Care service and support portal</w:t>
      </w:r>
    </w:p>
    <w:p w14:paraId="11F46DAA" w14:textId="77777777" w:rsidR="00F90A7E" w:rsidRPr="00F43310" w:rsidRDefault="00F90A7E" w:rsidP="00F43310">
      <w:pPr>
        <w:pStyle w:val="Introparagraphlistbullet"/>
      </w:pPr>
      <w:r w:rsidRPr="00F43310">
        <w:t>Outlet Administrators who have access to more than one outlet.</w:t>
      </w:r>
    </w:p>
    <w:p w14:paraId="4660DFAD" w14:textId="77777777" w:rsidR="00F90A7E" w:rsidRPr="00F43310" w:rsidRDefault="00F90A7E" w:rsidP="00F43310">
      <w:pPr>
        <w:pStyle w:val="IntroPara"/>
      </w:pPr>
      <w:r w:rsidRPr="00F43310">
        <w:t>This guide explains the procedures for transferring clients and services within and between outlets in an organisation.</w:t>
      </w:r>
    </w:p>
    <w:p w14:paraId="691FDA50" w14:textId="2540EA15" w:rsidR="00F90A7E" w:rsidRPr="00F43310" w:rsidRDefault="00F90A7E" w:rsidP="00F43310">
      <w:pPr>
        <w:pStyle w:val="IntroPara"/>
      </w:pPr>
      <w:r w:rsidRPr="00F43310">
        <w:t>This process will assist organisation administrators to restructure outlets set up for their organisation to meet their business needs.</w:t>
      </w:r>
    </w:p>
    <w:p w14:paraId="06072651" w14:textId="77777777" w:rsidR="00F90A7E" w:rsidRDefault="00F90A7E" w:rsidP="00F43310">
      <w:r>
        <w:t>This guide is divided into the following topics:</w:t>
      </w:r>
    </w:p>
    <w:sdt>
      <w:sdtPr>
        <w:rPr>
          <w:b/>
        </w:rPr>
        <w:id w:val="311216908"/>
        <w:docPartObj>
          <w:docPartGallery w:val="Table of Contents"/>
          <w:docPartUnique/>
        </w:docPartObj>
      </w:sdtPr>
      <w:sdtEndPr>
        <w:rPr>
          <w:b w:val="0"/>
        </w:rPr>
      </w:sdtEndPr>
      <w:sdtContent>
        <w:p w14:paraId="77A0F15A" w14:textId="5A75C72F" w:rsidR="00730EF1" w:rsidRDefault="00063110" w:rsidP="00850923">
          <w:pPr>
            <w:rPr>
              <w:rFonts w:asciiTheme="minorHAnsi" w:eastAsiaTheme="minorEastAsia" w:hAnsiTheme="minorHAnsi"/>
              <w:noProof/>
              <w:kern w:val="2"/>
              <w:lang w:eastAsia="en-AU"/>
              <w14:ligatures w14:val="standardContextual"/>
            </w:rPr>
          </w:pPr>
          <w:r w:rsidRPr="0070280D">
            <w:rPr>
              <w:rFonts w:eastAsiaTheme="minorHAnsi" w:cs="Arial"/>
              <w:sz w:val="21"/>
              <w:szCs w:val="21"/>
            </w:rPr>
            <w:fldChar w:fldCharType="begin"/>
          </w:r>
          <w:r w:rsidRPr="0070280D">
            <w:rPr>
              <w:rFonts w:cs="Arial"/>
              <w:sz w:val="21"/>
              <w:szCs w:val="21"/>
            </w:rPr>
            <w:instrText xml:space="preserve"> TOC \o "1-3" \h \z \u </w:instrText>
          </w:r>
          <w:r w:rsidRPr="0070280D">
            <w:rPr>
              <w:rFonts w:eastAsiaTheme="minorHAnsi" w:cs="Arial"/>
              <w:sz w:val="21"/>
              <w:szCs w:val="21"/>
            </w:rPr>
            <w:fldChar w:fldCharType="separate"/>
          </w:r>
          <w:hyperlink w:anchor="_Toc158732160" w:history="1"/>
        </w:p>
        <w:p w14:paraId="7457F9B6" w14:textId="5BE15447" w:rsidR="00730EF1" w:rsidRDefault="003570D0" w:rsidP="00730EF1">
          <w:pPr>
            <w:pStyle w:val="TOC2"/>
            <w:rPr>
              <w:rFonts w:asciiTheme="minorHAnsi" w:eastAsiaTheme="minorEastAsia" w:hAnsiTheme="minorHAnsi"/>
              <w:noProof/>
              <w:kern w:val="2"/>
              <w:sz w:val="22"/>
              <w:lang w:eastAsia="en-AU"/>
              <w14:ligatures w14:val="standardContextual"/>
            </w:rPr>
          </w:pPr>
          <w:hyperlink w:anchor="_Toc158732161" w:history="1">
            <w:r w:rsidR="00730EF1" w:rsidRPr="00BB1C53">
              <w:rPr>
                <w:rStyle w:val="Hyperlink"/>
                <w:noProof/>
              </w:rPr>
              <w:t>Notes</w:t>
            </w:r>
            <w:r w:rsidR="00730EF1">
              <w:rPr>
                <w:noProof/>
                <w:webHidden/>
              </w:rPr>
              <w:tab/>
            </w:r>
            <w:r w:rsidR="00730EF1">
              <w:rPr>
                <w:noProof/>
                <w:webHidden/>
              </w:rPr>
              <w:fldChar w:fldCharType="begin"/>
            </w:r>
            <w:r w:rsidR="00730EF1">
              <w:rPr>
                <w:noProof/>
                <w:webHidden/>
              </w:rPr>
              <w:instrText xml:space="preserve"> PAGEREF _Toc158732161 \h </w:instrText>
            </w:r>
            <w:r w:rsidR="00730EF1">
              <w:rPr>
                <w:noProof/>
                <w:webHidden/>
              </w:rPr>
            </w:r>
            <w:r w:rsidR="00730EF1">
              <w:rPr>
                <w:noProof/>
                <w:webHidden/>
              </w:rPr>
              <w:fldChar w:fldCharType="separate"/>
            </w:r>
            <w:r w:rsidR="00730EF1">
              <w:rPr>
                <w:noProof/>
                <w:webHidden/>
              </w:rPr>
              <w:t>2</w:t>
            </w:r>
            <w:r w:rsidR="00730EF1">
              <w:rPr>
                <w:noProof/>
                <w:webHidden/>
              </w:rPr>
              <w:fldChar w:fldCharType="end"/>
            </w:r>
          </w:hyperlink>
        </w:p>
        <w:p w14:paraId="6E13AA3C" w14:textId="1E5D82D5" w:rsidR="00730EF1" w:rsidRDefault="003570D0" w:rsidP="00730EF1">
          <w:pPr>
            <w:pStyle w:val="TOC2"/>
            <w:rPr>
              <w:rFonts w:asciiTheme="minorHAnsi" w:eastAsiaTheme="minorEastAsia" w:hAnsiTheme="minorHAnsi"/>
              <w:noProof/>
              <w:kern w:val="2"/>
              <w:sz w:val="22"/>
              <w:lang w:eastAsia="en-AU"/>
              <w14:ligatures w14:val="standardContextual"/>
            </w:rPr>
          </w:pPr>
          <w:hyperlink w:anchor="_Toc158732162" w:history="1">
            <w:r w:rsidR="00730EF1" w:rsidRPr="00BB1C53">
              <w:rPr>
                <w:rStyle w:val="Hyperlink"/>
                <w:noProof/>
              </w:rPr>
              <w:t>Transferring between outlets</w:t>
            </w:r>
            <w:r w:rsidR="00730EF1">
              <w:rPr>
                <w:noProof/>
                <w:webHidden/>
              </w:rPr>
              <w:tab/>
            </w:r>
            <w:r w:rsidR="00730EF1">
              <w:rPr>
                <w:noProof/>
                <w:webHidden/>
              </w:rPr>
              <w:fldChar w:fldCharType="begin"/>
            </w:r>
            <w:r w:rsidR="00730EF1">
              <w:rPr>
                <w:noProof/>
                <w:webHidden/>
              </w:rPr>
              <w:instrText xml:space="preserve"> PAGEREF _Toc158732162 \h </w:instrText>
            </w:r>
            <w:r w:rsidR="00730EF1">
              <w:rPr>
                <w:noProof/>
                <w:webHidden/>
              </w:rPr>
            </w:r>
            <w:r w:rsidR="00730EF1">
              <w:rPr>
                <w:noProof/>
                <w:webHidden/>
              </w:rPr>
              <w:fldChar w:fldCharType="separate"/>
            </w:r>
            <w:r w:rsidR="00730EF1">
              <w:rPr>
                <w:noProof/>
                <w:webHidden/>
              </w:rPr>
              <w:t>2</w:t>
            </w:r>
            <w:r w:rsidR="00730EF1">
              <w:rPr>
                <w:noProof/>
                <w:webHidden/>
              </w:rPr>
              <w:fldChar w:fldCharType="end"/>
            </w:r>
          </w:hyperlink>
        </w:p>
        <w:p w14:paraId="0376A807" w14:textId="5F9EE4FA" w:rsidR="00730EF1" w:rsidRDefault="003570D0" w:rsidP="00730EF1">
          <w:pPr>
            <w:pStyle w:val="TOC2"/>
            <w:rPr>
              <w:rFonts w:asciiTheme="minorHAnsi" w:eastAsiaTheme="minorEastAsia" w:hAnsiTheme="minorHAnsi"/>
              <w:noProof/>
              <w:kern w:val="2"/>
              <w:sz w:val="22"/>
              <w:lang w:eastAsia="en-AU"/>
              <w14:ligatures w14:val="standardContextual"/>
            </w:rPr>
          </w:pPr>
          <w:hyperlink w:anchor="_Toc158732163" w:history="1">
            <w:r w:rsidR="00730EF1" w:rsidRPr="00BB1C53">
              <w:rPr>
                <w:rStyle w:val="Hyperlink"/>
                <w:noProof/>
              </w:rPr>
              <w:t>Viewing the service transfer log</w:t>
            </w:r>
            <w:r w:rsidR="00730EF1">
              <w:rPr>
                <w:noProof/>
                <w:webHidden/>
              </w:rPr>
              <w:tab/>
            </w:r>
            <w:r w:rsidR="00730EF1">
              <w:rPr>
                <w:noProof/>
                <w:webHidden/>
              </w:rPr>
              <w:fldChar w:fldCharType="begin"/>
            </w:r>
            <w:r w:rsidR="00730EF1">
              <w:rPr>
                <w:noProof/>
                <w:webHidden/>
              </w:rPr>
              <w:instrText xml:space="preserve"> PAGEREF _Toc158732163 \h </w:instrText>
            </w:r>
            <w:r w:rsidR="00730EF1">
              <w:rPr>
                <w:noProof/>
                <w:webHidden/>
              </w:rPr>
            </w:r>
            <w:r w:rsidR="00730EF1">
              <w:rPr>
                <w:noProof/>
                <w:webHidden/>
              </w:rPr>
              <w:fldChar w:fldCharType="separate"/>
            </w:r>
            <w:r w:rsidR="00730EF1">
              <w:rPr>
                <w:noProof/>
                <w:webHidden/>
              </w:rPr>
              <w:t>6</w:t>
            </w:r>
            <w:r w:rsidR="00730EF1">
              <w:rPr>
                <w:noProof/>
                <w:webHidden/>
              </w:rPr>
              <w:fldChar w:fldCharType="end"/>
            </w:r>
          </w:hyperlink>
        </w:p>
        <w:p w14:paraId="7A18BB21" w14:textId="041A7328" w:rsidR="00730EF1" w:rsidRDefault="003570D0" w:rsidP="00730EF1">
          <w:pPr>
            <w:pStyle w:val="TOC2"/>
            <w:rPr>
              <w:rFonts w:asciiTheme="minorHAnsi" w:eastAsiaTheme="minorEastAsia" w:hAnsiTheme="minorHAnsi"/>
              <w:noProof/>
              <w:kern w:val="2"/>
              <w:sz w:val="22"/>
              <w:lang w:eastAsia="en-AU"/>
              <w14:ligatures w14:val="standardContextual"/>
            </w:rPr>
          </w:pPr>
          <w:hyperlink w:anchor="_Toc158732164" w:history="1">
            <w:r w:rsidR="00730EF1" w:rsidRPr="00BB1C53">
              <w:rPr>
                <w:rStyle w:val="Hyperlink"/>
                <w:noProof/>
              </w:rPr>
              <w:t>Transferring a client between services</w:t>
            </w:r>
            <w:r w:rsidR="00730EF1">
              <w:rPr>
                <w:noProof/>
                <w:webHidden/>
              </w:rPr>
              <w:tab/>
            </w:r>
            <w:r w:rsidR="00730EF1">
              <w:rPr>
                <w:noProof/>
                <w:webHidden/>
              </w:rPr>
              <w:fldChar w:fldCharType="begin"/>
            </w:r>
            <w:r w:rsidR="00730EF1">
              <w:rPr>
                <w:noProof/>
                <w:webHidden/>
              </w:rPr>
              <w:instrText xml:space="preserve"> PAGEREF _Toc158732164 \h </w:instrText>
            </w:r>
            <w:r w:rsidR="00730EF1">
              <w:rPr>
                <w:noProof/>
                <w:webHidden/>
              </w:rPr>
            </w:r>
            <w:r w:rsidR="00730EF1">
              <w:rPr>
                <w:noProof/>
                <w:webHidden/>
              </w:rPr>
              <w:fldChar w:fldCharType="separate"/>
            </w:r>
            <w:r w:rsidR="00730EF1">
              <w:rPr>
                <w:noProof/>
                <w:webHidden/>
              </w:rPr>
              <w:t>8</w:t>
            </w:r>
            <w:r w:rsidR="00730EF1">
              <w:rPr>
                <w:noProof/>
                <w:webHidden/>
              </w:rPr>
              <w:fldChar w:fldCharType="end"/>
            </w:r>
          </w:hyperlink>
        </w:p>
        <w:p w14:paraId="21CFCFBC" w14:textId="71150021" w:rsidR="00730EF1" w:rsidRDefault="003570D0" w:rsidP="00730EF1">
          <w:pPr>
            <w:pStyle w:val="TOC2"/>
            <w:rPr>
              <w:rFonts w:asciiTheme="minorHAnsi" w:eastAsiaTheme="minorEastAsia" w:hAnsiTheme="minorHAnsi"/>
              <w:noProof/>
              <w:kern w:val="2"/>
              <w:sz w:val="22"/>
              <w:lang w:eastAsia="en-AU"/>
              <w14:ligatures w14:val="standardContextual"/>
            </w:rPr>
          </w:pPr>
          <w:hyperlink w:anchor="_Toc158732165" w:history="1">
            <w:r w:rsidR="00730EF1" w:rsidRPr="00BB1C53">
              <w:rPr>
                <w:rStyle w:val="Hyperlink"/>
                <w:noProof/>
              </w:rPr>
              <w:t>Viewing the client transfer log</w:t>
            </w:r>
            <w:r w:rsidR="00730EF1">
              <w:rPr>
                <w:noProof/>
                <w:webHidden/>
              </w:rPr>
              <w:tab/>
            </w:r>
            <w:r w:rsidR="00730EF1">
              <w:rPr>
                <w:noProof/>
                <w:webHidden/>
              </w:rPr>
              <w:fldChar w:fldCharType="begin"/>
            </w:r>
            <w:r w:rsidR="00730EF1">
              <w:rPr>
                <w:noProof/>
                <w:webHidden/>
              </w:rPr>
              <w:instrText xml:space="preserve"> PAGEREF _Toc158732165 \h </w:instrText>
            </w:r>
            <w:r w:rsidR="00730EF1">
              <w:rPr>
                <w:noProof/>
                <w:webHidden/>
              </w:rPr>
            </w:r>
            <w:r w:rsidR="00730EF1">
              <w:rPr>
                <w:noProof/>
                <w:webHidden/>
              </w:rPr>
              <w:fldChar w:fldCharType="separate"/>
            </w:r>
            <w:r w:rsidR="00730EF1">
              <w:rPr>
                <w:noProof/>
                <w:webHidden/>
              </w:rPr>
              <w:t>11</w:t>
            </w:r>
            <w:r w:rsidR="00730EF1">
              <w:rPr>
                <w:noProof/>
                <w:webHidden/>
              </w:rPr>
              <w:fldChar w:fldCharType="end"/>
            </w:r>
          </w:hyperlink>
        </w:p>
        <w:p w14:paraId="3C6124C2" w14:textId="2F9096BC" w:rsidR="00730EF1" w:rsidRDefault="003570D0" w:rsidP="00730EF1">
          <w:pPr>
            <w:pStyle w:val="TOC2"/>
            <w:rPr>
              <w:rFonts w:asciiTheme="minorHAnsi" w:eastAsiaTheme="minorEastAsia" w:hAnsiTheme="minorHAnsi"/>
              <w:noProof/>
              <w:kern w:val="2"/>
              <w:sz w:val="22"/>
              <w:lang w:eastAsia="en-AU"/>
              <w14:ligatures w14:val="standardContextual"/>
            </w:rPr>
          </w:pPr>
          <w:hyperlink w:anchor="_Toc158732166" w:history="1">
            <w:r w:rsidR="00730EF1" w:rsidRPr="00BB1C53">
              <w:rPr>
                <w:rStyle w:val="Hyperlink"/>
                <w:noProof/>
              </w:rPr>
              <w:t>For more information or support</w:t>
            </w:r>
            <w:r w:rsidR="00730EF1">
              <w:rPr>
                <w:noProof/>
                <w:webHidden/>
              </w:rPr>
              <w:tab/>
            </w:r>
            <w:r w:rsidR="00730EF1">
              <w:rPr>
                <w:noProof/>
                <w:webHidden/>
              </w:rPr>
              <w:fldChar w:fldCharType="begin"/>
            </w:r>
            <w:r w:rsidR="00730EF1">
              <w:rPr>
                <w:noProof/>
                <w:webHidden/>
              </w:rPr>
              <w:instrText xml:space="preserve"> PAGEREF _Toc158732166 \h </w:instrText>
            </w:r>
            <w:r w:rsidR="00730EF1">
              <w:rPr>
                <w:noProof/>
                <w:webHidden/>
              </w:rPr>
            </w:r>
            <w:r w:rsidR="00730EF1">
              <w:rPr>
                <w:noProof/>
                <w:webHidden/>
              </w:rPr>
              <w:fldChar w:fldCharType="separate"/>
            </w:r>
            <w:r w:rsidR="00730EF1">
              <w:rPr>
                <w:noProof/>
                <w:webHidden/>
              </w:rPr>
              <w:t>12</w:t>
            </w:r>
            <w:r w:rsidR="00730EF1">
              <w:rPr>
                <w:noProof/>
                <w:webHidden/>
              </w:rPr>
              <w:fldChar w:fldCharType="end"/>
            </w:r>
          </w:hyperlink>
        </w:p>
        <w:p w14:paraId="2EB074FF" w14:textId="26DDC890" w:rsidR="00063110" w:rsidRDefault="00063110" w:rsidP="000646CE">
          <w:r w:rsidRPr="0070280D">
            <w:rPr>
              <w:rFonts w:cs="Arial"/>
              <w:b/>
              <w:bCs/>
              <w:noProof/>
              <w:szCs w:val="21"/>
            </w:rPr>
            <w:fldChar w:fldCharType="end"/>
          </w:r>
        </w:p>
      </w:sdtContent>
    </w:sdt>
    <w:p w14:paraId="2C8B43D1" w14:textId="77777777" w:rsidR="004758A2" w:rsidRPr="00F43310" w:rsidRDefault="004758A2" w:rsidP="00F43310">
      <w:pPr>
        <w:rPr>
          <w:rFonts w:eastAsia="MS Gothic"/>
        </w:rPr>
      </w:pPr>
      <w:r>
        <w:br w:type="page"/>
      </w:r>
    </w:p>
    <w:p w14:paraId="0CE626D5" w14:textId="6277E4A4" w:rsidR="00991D51" w:rsidRPr="000646CE" w:rsidRDefault="00991D51" w:rsidP="00991D51">
      <w:pPr>
        <w:pStyle w:val="Heading2"/>
        <w:spacing w:before="240" w:line="259" w:lineRule="auto"/>
        <w:rPr>
          <w:sz w:val="28"/>
          <w:szCs w:val="28"/>
        </w:rPr>
      </w:pPr>
      <w:bookmarkStart w:id="2" w:name="_Toc158732161"/>
      <w:r w:rsidRPr="000646CE">
        <w:rPr>
          <w:sz w:val="28"/>
          <w:szCs w:val="28"/>
        </w:rPr>
        <w:lastRenderedPageBreak/>
        <w:t>Notes</w:t>
      </w:r>
      <w:bookmarkEnd w:id="2"/>
    </w:p>
    <w:p w14:paraId="78D19A68" w14:textId="77777777" w:rsidR="00EB22EB" w:rsidRPr="00EB66A6" w:rsidRDefault="00EB22EB" w:rsidP="00EB66A6">
      <w:pPr>
        <w:pStyle w:val="ListBullet"/>
      </w:pPr>
      <w:r w:rsidRPr="00EB66A6">
        <w:t>This document relates only to the functions able to be performed by an administrator at the organisation level.</w:t>
      </w:r>
    </w:p>
    <w:p w14:paraId="1C1D7567" w14:textId="77777777" w:rsidR="00EB22EB" w:rsidRPr="00EB66A6" w:rsidRDefault="00EB22EB" w:rsidP="00EB66A6">
      <w:pPr>
        <w:pStyle w:val="ListBullet"/>
      </w:pPr>
      <w:r w:rsidRPr="00EB66A6">
        <w:t>For home care, a client’s package status will not be affected when they are transferred, but providers should still ensure that the NAPS Service ID matches the NAPS Service ID they submit for claims.</w:t>
      </w:r>
    </w:p>
    <w:p w14:paraId="312DC05E" w14:textId="439F445C" w:rsidR="00EB22EB" w:rsidRPr="00EB66A6" w:rsidRDefault="00EB22EB" w:rsidP="00EB66A6">
      <w:pPr>
        <w:pStyle w:val="ListBullet"/>
      </w:pPr>
      <w:r w:rsidRPr="00007C72">
        <w:t>This functionality does not apply to residential care services, and providers should use the existing process using the</w:t>
      </w:r>
      <w:hyperlink r:id="rId11">
        <w:r w:rsidRPr="361C43A2">
          <w:rPr>
            <w:rStyle w:val="Hyperlink"/>
            <w:color w:val="auto"/>
            <w:u w:val="none"/>
          </w:rPr>
          <w:t xml:space="preserve"> </w:t>
        </w:r>
      </w:hyperlink>
      <w:hyperlink r:id="rId12">
        <w:r w:rsidRPr="6D7C2510">
          <w:rPr>
            <w:rStyle w:val="Hyperlink"/>
            <w:color w:val="0070C0"/>
          </w:rPr>
          <w:t>Application to Vary Conditions of Allocation</w:t>
        </w:r>
      </w:hyperlink>
      <w:r w:rsidRPr="00007C72">
        <w:t xml:space="preserve"> form</w:t>
      </w:r>
      <w:r>
        <w:t>.</w:t>
      </w:r>
    </w:p>
    <w:p w14:paraId="4339A8B8" w14:textId="7D2E1C0C" w:rsidR="00EB22EB" w:rsidRPr="00EB66A6" w:rsidRDefault="00EB22EB" w:rsidP="00EB66A6">
      <w:pPr>
        <w:pStyle w:val="ListBullet"/>
      </w:pPr>
      <w:r>
        <w:t xml:space="preserve">For home care, if you are transferring services or clients to an outlet or service from or to another approved provider organisation e.g. as part of a merger or acquisition you should follow the process for </w:t>
      </w:r>
      <w:hyperlink r:id="rId13" w:history="1">
        <w:r w:rsidR="00C3175B">
          <w:rPr>
            <w:rStyle w:val="Hyperlink"/>
          </w:rPr>
          <w:t>Transferring home care packages services</w:t>
        </w:r>
      </w:hyperlink>
      <w:r w:rsidR="008261B0">
        <w:t xml:space="preserve"> to another app</w:t>
      </w:r>
      <w:r w:rsidR="00C3175B">
        <w:t>roved provide</w:t>
      </w:r>
      <w:r w:rsidR="00C3175B" w:rsidRPr="00EB66A6">
        <w:t>r.</w:t>
      </w:r>
    </w:p>
    <w:p w14:paraId="160A7B21" w14:textId="231CC657" w:rsidR="00EB22EB" w:rsidRPr="00EB66A6" w:rsidRDefault="00EB22EB" w:rsidP="00EB66A6">
      <w:pPr>
        <w:pStyle w:val="ListBullet"/>
      </w:pPr>
      <w:r w:rsidRPr="00EB66A6">
        <w:t xml:space="preserve">If you are required to transfer clients between organisations, for example, as part of a merger or acquisition, contact the My Aged Care Service Provider and Assessor Helpline on 1800 836 799, who will be able to </w:t>
      </w:r>
      <w:r w:rsidR="00C3175B" w:rsidRPr="00EB66A6">
        <w:t>initiate</w:t>
      </w:r>
      <w:r w:rsidRPr="00EB66A6">
        <w:t xml:space="preserve"> the transfer of clients for you.</w:t>
      </w:r>
    </w:p>
    <w:p w14:paraId="399FF508" w14:textId="4156BC7E" w:rsidR="00FF381B" w:rsidRPr="000646CE" w:rsidRDefault="00741235" w:rsidP="00F8739B">
      <w:pPr>
        <w:pStyle w:val="Heading2"/>
        <w:spacing w:before="480" w:line="259" w:lineRule="auto"/>
        <w:rPr>
          <w:sz w:val="28"/>
          <w:szCs w:val="28"/>
        </w:rPr>
      </w:pPr>
      <w:bookmarkStart w:id="3" w:name="_Toc158732162"/>
      <w:r>
        <w:rPr>
          <w:sz w:val="28"/>
          <w:szCs w:val="28"/>
        </w:rPr>
        <w:t>Transferring</w:t>
      </w:r>
      <w:r w:rsidR="00137FCC">
        <w:rPr>
          <w:sz w:val="28"/>
          <w:szCs w:val="28"/>
        </w:rPr>
        <w:t xml:space="preserve"> between outlets</w:t>
      </w:r>
      <w:bookmarkEnd w:id="3"/>
    </w:p>
    <w:p w14:paraId="1FDE02F4" w14:textId="77777777" w:rsidR="002A3A45" w:rsidRDefault="002A3A45" w:rsidP="002A3A45">
      <w:r>
        <w:t>Organisation administrators may choose one or multiple service items to transfer between outlets of an organisation in the service and support portal. Using this function, administrators can:</w:t>
      </w:r>
    </w:p>
    <w:p w14:paraId="23241738" w14:textId="6606565F" w:rsidR="002A3A45" w:rsidRPr="00EB66A6" w:rsidRDefault="00F17FCD" w:rsidP="00EB66A6">
      <w:pPr>
        <w:pStyle w:val="ListBullet"/>
      </w:pPr>
      <w:r w:rsidRPr="00EB66A6">
        <w:t>se</w:t>
      </w:r>
      <w:r w:rsidR="002A3A45" w:rsidRPr="00EB66A6">
        <w:t>lect and list the service item(s) you wish to transfer</w:t>
      </w:r>
    </w:p>
    <w:p w14:paraId="3A9B8B3F" w14:textId="6D3C6063" w:rsidR="002A3A45" w:rsidRPr="00EB66A6" w:rsidRDefault="00F17FCD" w:rsidP="00EB66A6">
      <w:pPr>
        <w:pStyle w:val="ListBullet"/>
      </w:pPr>
      <w:r w:rsidRPr="00EB66A6">
        <w:t>s</w:t>
      </w:r>
      <w:r w:rsidR="002A3A45" w:rsidRPr="00EB66A6">
        <w:t>elect an outlet to which you may transfer service item(s)</w:t>
      </w:r>
    </w:p>
    <w:p w14:paraId="7C39C9CC" w14:textId="554F3730" w:rsidR="002A3A45" w:rsidRPr="00EB66A6" w:rsidRDefault="00F17FCD" w:rsidP="00EB66A6">
      <w:pPr>
        <w:pStyle w:val="ListBullet"/>
      </w:pPr>
      <w:r w:rsidRPr="00EB66A6">
        <w:t>g</w:t>
      </w:r>
      <w:r w:rsidR="002A3A45" w:rsidRPr="00EB66A6">
        <w:t>enerate and export a report listing service referrals linked to the service item(s)</w:t>
      </w:r>
      <w:r w:rsidR="00F069BA" w:rsidRPr="00EB66A6">
        <w:t>.</w:t>
      </w:r>
    </w:p>
    <w:p w14:paraId="575916D3" w14:textId="0D135569" w:rsidR="007A48AC" w:rsidRPr="007A48AC" w:rsidRDefault="00F43310" w:rsidP="007A48AC">
      <w:pPr>
        <w:pStyle w:val="Style1"/>
      </w:pPr>
      <w:r w:rsidRPr="00352F69">
        <w:rPr>
          <w:color w:val="FF0000"/>
          <w:sz w:val="24"/>
        </w:rPr>
        <w:t>!</w:t>
      </w:r>
      <w:r>
        <w:t xml:space="preserve"> </w:t>
      </w:r>
      <w:r w:rsidRPr="00F43310">
        <w:t>This functionality is not available for residential care (permanent and respite). Please follow the existing process using the Application to Vary Conditions of Allocation form.</w:t>
      </w:r>
    </w:p>
    <w:p w14:paraId="13B34E02" w14:textId="18B96381" w:rsidR="007A48AC" w:rsidRPr="007A48AC" w:rsidRDefault="007A48AC" w:rsidP="007A48AC">
      <w:pPr>
        <w:pStyle w:val="Style1"/>
      </w:pPr>
      <w:r w:rsidRPr="00352F69">
        <w:rPr>
          <w:color w:val="FF0000"/>
          <w:sz w:val="24"/>
        </w:rPr>
        <w:t>!</w:t>
      </w:r>
      <w:r>
        <w:t xml:space="preserve"> </w:t>
      </w:r>
      <w:bookmarkStart w:id="4" w:name="_Hlk158656138"/>
      <w:r>
        <w:t xml:space="preserve">Only </w:t>
      </w:r>
      <w:r>
        <w:rPr>
          <w:lang w:val="en-US"/>
        </w:rPr>
        <w:t>departmental staff can transfer client records linked to an inactive outlet to an active outlet in the same assessment organisation, or to another assessment organisation.</w:t>
      </w:r>
      <w:bookmarkEnd w:id="4"/>
    </w:p>
    <w:p w14:paraId="6E91D3FD" w14:textId="77777777" w:rsidR="00B95CB6" w:rsidRDefault="00B95CB6" w:rsidP="00597988">
      <w:r>
        <w:t>To transfer a service item between outlets, follow the steps below.</w:t>
      </w:r>
    </w:p>
    <w:p w14:paraId="42B748E8" w14:textId="43917C7A" w:rsidR="00B95CB6" w:rsidRDefault="00B95CB6" w:rsidP="005D12AB">
      <w:pPr>
        <w:pStyle w:val="ListNumber"/>
      </w:pPr>
      <w:r>
        <w:lastRenderedPageBreak/>
        <w:t>Select ‘Outlet administration’ from the homepage.</w:t>
      </w:r>
    </w:p>
    <w:p w14:paraId="173B1AD6" w14:textId="6128DB35" w:rsidR="00A11E8C" w:rsidRPr="00F43310" w:rsidRDefault="001C03D1" w:rsidP="00F43310">
      <w:r>
        <w:rPr>
          <w:noProof/>
        </w:rPr>
        <w:drawing>
          <wp:inline distT="0" distB="0" distL="0" distR="0" wp14:anchorId="776E682D" wp14:editId="74BE8FE0">
            <wp:extent cx="3875174" cy="2390775"/>
            <wp:effectExtent l="19050" t="19050" r="11430" b="9525"/>
            <wp:docPr id="4" name="Picture 4" descr="Service and support portal home page, the Outlet Administration Tile is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ervice and support portal home page, the Outlet Administration Tile is highlighted."/>
                    <pic:cNvPicPr/>
                  </pic:nvPicPr>
                  <pic:blipFill>
                    <a:blip r:embed="rId14"/>
                    <a:stretch>
                      <a:fillRect/>
                    </a:stretch>
                  </pic:blipFill>
                  <pic:spPr>
                    <a:xfrm>
                      <a:off x="0" y="0"/>
                      <a:ext cx="3896523" cy="2403946"/>
                    </a:xfrm>
                    <a:prstGeom prst="rect">
                      <a:avLst/>
                    </a:prstGeom>
                    <a:ln>
                      <a:solidFill>
                        <a:schemeClr val="tx1"/>
                      </a:solidFill>
                    </a:ln>
                  </pic:spPr>
                </pic:pic>
              </a:graphicData>
            </a:graphic>
          </wp:inline>
        </w:drawing>
      </w:r>
    </w:p>
    <w:p w14:paraId="2CD97404" w14:textId="374E890B" w:rsidR="00597988" w:rsidRDefault="00597988" w:rsidP="005D12AB">
      <w:pPr>
        <w:pStyle w:val="ListNumber"/>
      </w:pPr>
      <w:r w:rsidRPr="00597988">
        <w:t>Select the outlet that contains the service items you wish to transfer to a different outlet.</w:t>
      </w:r>
    </w:p>
    <w:p w14:paraId="2F4BC67B" w14:textId="26CF85A2" w:rsidR="00B73419" w:rsidRPr="00F43310" w:rsidRDefault="00B73419" w:rsidP="00F43310">
      <w:r>
        <w:rPr>
          <w:noProof/>
          <w:lang w:eastAsia="en-AU"/>
        </w:rPr>
        <w:drawing>
          <wp:inline distT="0" distB="0" distL="0" distR="0" wp14:anchorId="1BED477B" wp14:editId="537A5408">
            <wp:extent cx="4895850" cy="2146014"/>
            <wp:effectExtent l="19050" t="19050" r="19050" b="26035"/>
            <wp:docPr id="20" name="Picture 20" descr="Select the outlet that contains the service items you wish to transfer to a different out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03558" cy="2149393"/>
                    </a:xfrm>
                    <a:prstGeom prst="rect">
                      <a:avLst/>
                    </a:prstGeom>
                    <a:noFill/>
                    <a:ln>
                      <a:solidFill>
                        <a:schemeClr val="tx1"/>
                      </a:solidFill>
                    </a:ln>
                  </pic:spPr>
                </pic:pic>
              </a:graphicData>
            </a:graphic>
          </wp:inline>
        </w:drawing>
      </w:r>
    </w:p>
    <w:p w14:paraId="387AC8E5" w14:textId="3311E419" w:rsidR="00A11E8C" w:rsidRDefault="003F4AF0" w:rsidP="005D12AB">
      <w:pPr>
        <w:pStyle w:val="ListNumber"/>
      </w:pPr>
      <w:r>
        <w:t>From the “View outlet” page click the “View service items” button.</w:t>
      </w:r>
    </w:p>
    <w:p w14:paraId="136D6309" w14:textId="3ED52864" w:rsidR="003F4AF0" w:rsidRDefault="00490588" w:rsidP="00EB66A6">
      <w:r w:rsidRPr="00EB66A6">
        <w:rPr>
          <w:noProof/>
        </w:rPr>
        <w:drawing>
          <wp:inline distT="0" distB="0" distL="0" distR="0" wp14:anchorId="127B64B0" wp14:editId="48099E2C">
            <wp:extent cx="4933950" cy="1444847"/>
            <wp:effectExtent l="19050" t="19050" r="19050" b="22225"/>
            <wp:docPr id="6" name="Picture 6" descr="From the “View outlet” page click the “View service items”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rom the “View outlet” page click the “View service items” butto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947147" cy="1448712"/>
                    </a:xfrm>
                    <a:prstGeom prst="rect">
                      <a:avLst/>
                    </a:prstGeom>
                    <a:noFill/>
                    <a:ln w="9525">
                      <a:solidFill>
                        <a:schemeClr val="tx1"/>
                      </a:solidFill>
                    </a:ln>
                  </pic:spPr>
                </pic:pic>
              </a:graphicData>
            </a:graphic>
          </wp:inline>
        </w:drawing>
      </w:r>
    </w:p>
    <w:p w14:paraId="762716A1" w14:textId="6104FC5C" w:rsidR="00FC4CF7" w:rsidRDefault="00FC4CF7" w:rsidP="005D12AB">
      <w:pPr>
        <w:pStyle w:val="ListNumber"/>
      </w:pPr>
      <w:r>
        <w:t>In the “View service items” page click on the ‘Transfer Service Item’ button.</w:t>
      </w:r>
    </w:p>
    <w:p w14:paraId="76C700E4" w14:textId="3AEF6EBC" w:rsidR="00FD4283" w:rsidRPr="00F43310" w:rsidRDefault="00FD4283" w:rsidP="00F43310">
      <w:r>
        <w:rPr>
          <w:noProof/>
          <w:lang w:eastAsia="en-AU"/>
        </w:rPr>
        <w:drawing>
          <wp:inline distT="0" distB="0" distL="0" distR="0" wp14:anchorId="0E77EC68" wp14:editId="21AEC275">
            <wp:extent cx="4931126" cy="468000"/>
            <wp:effectExtent l="19050" t="19050" r="22225" b="27305"/>
            <wp:docPr id="2" name="Picture 2" descr="4. In the “View service items” page click on the ‘Transfer Service Item’ butt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31126" cy="468000"/>
                    </a:xfrm>
                    <a:prstGeom prst="rect">
                      <a:avLst/>
                    </a:prstGeom>
                    <a:noFill/>
                    <a:ln>
                      <a:solidFill>
                        <a:schemeClr val="tx1"/>
                      </a:solidFill>
                    </a:ln>
                  </pic:spPr>
                </pic:pic>
              </a:graphicData>
            </a:graphic>
          </wp:inline>
        </w:drawing>
      </w:r>
    </w:p>
    <w:p w14:paraId="753C8063" w14:textId="77777777" w:rsidR="00FD4283" w:rsidRDefault="00FD4283" w:rsidP="005D12AB">
      <w:pPr>
        <w:pStyle w:val="ListNumber"/>
      </w:pPr>
      <w:r w:rsidRPr="00FD4283">
        <w:lastRenderedPageBreak/>
        <w:t>Select the outlet you wish to transfer the service items to using the list provided. You can search for a specific outlet using the search function. Click ‘Next’ to continue.</w:t>
      </w:r>
    </w:p>
    <w:p w14:paraId="0CE2220D" w14:textId="4609EC50" w:rsidR="0019009B" w:rsidRPr="00F43310" w:rsidRDefault="00171A29" w:rsidP="00F43310">
      <w:r>
        <w:rPr>
          <w:noProof/>
          <w:lang w:eastAsia="en-AU"/>
        </w:rPr>
        <w:drawing>
          <wp:inline distT="0" distB="0" distL="0" distR="0" wp14:anchorId="05BB972D" wp14:editId="745EBB43">
            <wp:extent cx="5044899" cy="1762125"/>
            <wp:effectExtent l="19050" t="19050" r="22860" b="9525"/>
            <wp:docPr id="5152" name="Picture 5152" descr="Select the outlet you wish to transfer the service items to using the list provided. You can search for a specific outlet using the search function. Click ‘Next’ to contin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051892" cy="1764567"/>
                    </a:xfrm>
                    <a:prstGeom prst="rect">
                      <a:avLst/>
                    </a:prstGeom>
                    <a:noFill/>
                    <a:ln>
                      <a:solidFill>
                        <a:schemeClr val="tx1"/>
                      </a:solidFill>
                    </a:ln>
                  </pic:spPr>
                </pic:pic>
              </a:graphicData>
            </a:graphic>
          </wp:inline>
        </w:drawing>
      </w:r>
    </w:p>
    <w:p w14:paraId="0B678F7E" w14:textId="10EBC1CE" w:rsidR="001D59AD" w:rsidRDefault="001912B2" w:rsidP="005D12AB">
      <w:pPr>
        <w:pStyle w:val="ListNumber"/>
      </w:pPr>
      <w:r w:rsidRPr="001912B2">
        <w:t>Select the service item(s) that you want to transfer to another outlet. You can search for specific service items using the search functionality (by Programme or Service type).</w:t>
      </w:r>
    </w:p>
    <w:p w14:paraId="74D006A4" w14:textId="77777777" w:rsidR="0009473B" w:rsidRPr="00F43310" w:rsidRDefault="0009473B" w:rsidP="00F43310">
      <w:r w:rsidRPr="00F43310">
        <w:t>Each service item contains the service type, NAPS service ID, service item name, funding state and funding region.</w:t>
      </w:r>
    </w:p>
    <w:p w14:paraId="7CDC6C57" w14:textId="3C466CFD" w:rsidR="0009473B" w:rsidRPr="00F43310" w:rsidRDefault="0009473B" w:rsidP="00F43310">
      <w:r w:rsidRPr="00F43310">
        <w:t>You can transfer up to a maximum of 25 service items.</w:t>
      </w:r>
    </w:p>
    <w:p w14:paraId="4E8328B7" w14:textId="495244CD" w:rsidR="0009473B" w:rsidRPr="00F43310" w:rsidRDefault="00A85C1E" w:rsidP="00F43310">
      <w:r w:rsidRPr="00F43310">
        <w:t>Click ‘Next’ to proceed to the next screen. If you click on ‘Cancel’, you will exit the Transfer process and be re-directed to the ‘View Outlet’ screen.</w:t>
      </w:r>
    </w:p>
    <w:p w14:paraId="7247A602" w14:textId="6C9A337D" w:rsidR="00A85C1E" w:rsidRPr="00F43310" w:rsidRDefault="00E1165E" w:rsidP="00F43310">
      <w:r>
        <w:rPr>
          <w:noProof/>
          <w:lang w:eastAsia="en-AU"/>
        </w:rPr>
        <w:drawing>
          <wp:inline distT="0" distB="0" distL="0" distR="0" wp14:anchorId="72B63892" wp14:editId="63C569C9">
            <wp:extent cx="5038725" cy="2115518"/>
            <wp:effectExtent l="19050" t="19050" r="9525" b="18415"/>
            <wp:docPr id="5154" name="Picture 5154" descr="Select the service item(s) that you want to transfer to another outlet. You can search for specific service items using the search functionality (by Programme or Service type). Click ‘Next’ to proceed to the next screen. If you click on ‘Cancel’, you will exit the Transfer process and be re-directed to the ‘View Outlet’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046112" cy="2118619"/>
                    </a:xfrm>
                    <a:prstGeom prst="rect">
                      <a:avLst/>
                    </a:prstGeom>
                    <a:noFill/>
                    <a:ln>
                      <a:solidFill>
                        <a:schemeClr val="tx1"/>
                      </a:solidFill>
                    </a:ln>
                  </pic:spPr>
                </pic:pic>
              </a:graphicData>
            </a:graphic>
          </wp:inline>
        </w:drawing>
      </w:r>
    </w:p>
    <w:p w14:paraId="6FF92FD0" w14:textId="32CEA12A" w:rsidR="0009473B" w:rsidRDefault="00FB2D1F" w:rsidP="005D12AB">
      <w:pPr>
        <w:pStyle w:val="ListNumber"/>
      </w:pPr>
      <w:r>
        <w:t>Review the information to ensure that it is correct. You may wish to change the Service Item name.</w:t>
      </w:r>
    </w:p>
    <w:p w14:paraId="5D23A03A" w14:textId="4052321F" w:rsidR="00FB2D1F" w:rsidRDefault="006440C5" w:rsidP="005D12AB">
      <w:pPr>
        <w:pStyle w:val="ListNumber"/>
      </w:pPr>
      <w:r>
        <w:t>To remove a service item, click the red bin icon. To cancel the transfer, click ‘Cancel’.</w:t>
      </w:r>
    </w:p>
    <w:p w14:paraId="0EB24947" w14:textId="574A94E9" w:rsidR="006440C5" w:rsidRPr="00F43310" w:rsidRDefault="000C7C99" w:rsidP="00F43310">
      <w:r>
        <w:rPr>
          <w:noProof/>
          <w:lang w:eastAsia="en-AU"/>
        </w:rPr>
        <w:drawing>
          <wp:inline distT="0" distB="0" distL="0" distR="0" wp14:anchorId="633F9991" wp14:editId="4E65D54F">
            <wp:extent cx="5038725" cy="1703089"/>
            <wp:effectExtent l="19050" t="19050" r="9525" b="11430"/>
            <wp:docPr id="8" name="Picture 8" descr="7. Review the information to ensure that it is correct. You may wish to change the Service Item name. &#10;To remove a service item, click the red bin icon. To cancel the transfer, click ‘Cance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044633" cy="1705086"/>
                    </a:xfrm>
                    <a:prstGeom prst="rect">
                      <a:avLst/>
                    </a:prstGeom>
                    <a:noFill/>
                    <a:ln>
                      <a:solidFill>
                        <a:schemeClr val="tx1"/>
                      </a:solidFill>
                    </a:ln>
                  </pic:spPr>
                </pic:pic>
              </a:graphicData>
            </a:graphic>
          </wp:inline>
        </w:drawing>
      </w:r>
    </w:p>
    <w:p w14:paraId="39EF0368" w14:textId="77777777" w:rsidR="00F237E9" w:rsidRDefault="00F237E9" w:rsidP="005D12AB">
      <w:pPr>
        <w:pStyle w:val="ListNumber"/>
      </w:pPr>
      <w:r>
        <w:lastRenderedPageBreak/>
        <w:t xml:space="preserve">To review any clients that may be impacted by the transfer, you can generate an ‘Impact report’ before proceeding with the transfer. </w:t>
      </w:r>
    </w:p>
    <w:p w14:paraId="44C356DA" w14:textId="21628D5E" w:rsidR="00F237E9" w:rsidRPr="00EB66A6" w:rsidRDefault="00F237E9" w:rsidP="00EB66A6">
      <w:r w:rsidRPr="00EB66A6">
        <w:t>To generate the impact report, select the ‘Save Transfer and Generate Impact Report’ button.</w:t>
      </w:r>
    </w:p>
    <w:p w14:paraId="19F5DCE0" w14:textId="44FD44DC" w:rsidR="00F237E9" w:rsidRPr="00EB66A6" w:rsidRDefault="004F7B29" w:rsidP="00EB66A6">
      <w:r w:rsidRPr="00EB66A6">
        <w:t>Once the report has generated, it will appear in the ‘Reports and documents’ tab for five days. You can review the report and resume the transfer at a later stage.</w:t>
      </w:r>
    </w:p>
    <w:p w14:paraId="1C5BC21A" w14:textId="42CB7E45" w:rsidR="004F7B29" w:rsidRPr="00F43310" w:rsidRDefault="00D07F84" w:rsidP="00F43310">
      <w:r>
        <w:rPr>
          <w:noProof/>
          <w:lang w:eastAsia="en-AU"/>
        </w:rPr>
        <w:drawing>
          <wp:inline distT="0" distB="0" distL="0" distR="0" wp14:anchorId="13B7F57C" wp14:editId="3F09DE11">
            <wp:extent cx="4884507" cy="1600200"/>
            <wp:effectExtent l="19050" t="19050" r="11430" b="19050"/>
            <wp:docPr id="16" name="Picture 16" descr="Once the report has generated, it will appear in the ‘Reports and documents’ tab for five days. You can review the report and resume the transfer at a later s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908307" cy="1607997"/>
                    </a:xfrm>
                    <a:prstGeom prst="rect">
                      <a:avLst/>
                    </a:prstGeom>
                    <a:noFill/>
                    <a:ln>
                      <a:solidFill>
                        <a:schemeClr val="tx1"/>
                      </a:solidFill>
                    </a:ln>
                  </pic:spPr>
                </pic:pic>
              </a:graphicData>
            </a:graphic>
          </wp:inline>
        </w:drawing>
      </w:r>
    </w:p>
    <w:p w14:paraId="187755DC" w14:textId="2955FCE1" w:rsidR="00F237E9" w:rsidRPr="00EB66A6" w:rsidRDefault="00B320DA" w:rsidP="00EB66A6">
      <w:r w:rsidRPr="00EB66A6">
        <w:t>The following banner will display:</w:t>
      </w:r>
    </w:p>
    <w:p w14:paraId="556AE7BC" w14:textId="4733B84E" w:rsidR="00B320DA" w:rsidRPr="00F43310" w:rsidRDefault="00B06853" w:rsidP="00EB66A6">
      <w:r w:rsidRPr="00EB66A6">
        <w:rPr>
          <w:noProof/>
        </w:rPr>
        <w:drawing>
          <wp:inline distT="0" distB="0" distL="0" distR="0" wp14:anchorId="26327210" wp14:editId="3456CF0B">
            <wp:extent cx="5390515" cy="352425"/>
            <wp:effectExtent l="19050" t="19050" r="19685" b="28575"/>
            <wp:docPr id="2075" name="Picture 2075" descr="Please wait for the transfer impact report to complete before transferring services. Depending in the number of services being transferred, this may take some time. You may navigate awayy from this page and continue to transfer service once the impact report has finish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srcRect r="138" b="17647"/>
                    <a:stretch/>
                  </pic:blipFill>
                  <pic:spPr bwMode="auto">
                    <a:xfrm>
                      <a:off x="0" y="0"/>
                      <a:ext cx="5401089" cy="353116"/>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095FA502" w14:textId="77777777" w:rsidR="00FA283A" w:rsidRPr="00EB66A6" w:rsidRDefault="00BB3DCB" w:rsidP="00EB66A6">
      <w:r w:rsidRPr="00EB66A6">
        <w:t xml:space="preserve">The ‘Transfer Impact Report’ may, on occasion, take some time to generate. If this happens, an alert message will prompt on screen. </w:t>
      </w:r>
    </w:p>
    <w:p w14:paraId="7160C1EE" w14:textId="211016E8" w:rsidR="00FA283A" w:rsidRPr="00EB66A6" w:rsidRDefault="00BB3DCB" w:rsidP="00EB66A6">
      <w:r w:rsidRPr="00EB66A6">
        <w:t xml:space="preserve">You can navigate away from the ‘Transfer Service Inventory Items’ </w:t>
      </w:r>
      <w:r w:rsidR="00EB66A6" w:rsidRPr="00EB66A6">
        <w:t>screen and</w:t>
      </w:r>
      <w:r w:rsidRPr="00EB66A6">
        <w:t xml:space="preserve"> be notified when the ‘Transfer Impact Report’ completes. </w:t>
      </w:r>
    </w:p>
    <w:p w14:paraId="52B21944" w14:textId="3549F5A0" w:rsidR="00BB3DCB" w:rsidRPr="00EB66A6" w:rsidRDefault="00BB3DCB" w:rsidP="00EB66A6">
      <w:r w:rsidRPr="00EB66A6">
        <w:t>Alternatively, you may choose to transfer service inventory items without reviewing the report at any time.</w:t>
      </w:r>
    </w:p>
    <w:p w14:paraId="54DBDDA0" w14:textId="11BD62E7" w:rsidR="00FA283A" w:rsidRPr="00F43310" w:rsidRDefault="00FA283A" w:rsidP="00F43310">
      <w:r w:rsidRPr="00D826FF">
        <w:rPr>
          <w:noProof/>
        </w:rPr>
        <w:drawing>
          <wp:inline distT="0" distB="0" distL="0" distR="0" wp14:anchorId="43ADF50D" wp14:editId="32B75669">
            <wp:extent cx="5400000" cy="343538"/>
            <wp:effectExtent l="0" t="0" r="0" b="0"/>
            <wp:docPr id="5235" name="Picture 5235" descr="The 'Transfer Impact Report' may, on occasion, take some time to generate. If this happens, an alert message will prompt on screen. You can navigate away from the 'Transfer Service Inventory Items' screen, and be notified when the 'Transfer Impact Report' completes. Alternatively, you may choose to transfer service inventory items without reviewing the report at any time." title="Transfer impact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4\MAHAJM\Desktop\QRG\Provider Portal Pics\Transfer Service Item\Revoew-Error.PNG"/>
                    <pic:cNvPicPr>
                      <a:picLocks noChangeAspect="1" noChangeArrowheads="1"/>
                    </pic:cNvPicPr>
                  </pic:nvPicPr>
                  <pic:blipFill rotWithShape="1">
                    <a:blip r:embed="rId23">
                      <a:extLst>
                        <a:ext uri="{28A0092B-C50C-407E-A947-70E740481C1C}">
                          <a14:useLocalDpi xmlns:a14="http://schemas.microsoft.com/office/drawing/2010/main" val="0"/>
                        </a:ext>
                      </a:extLst>
                    </a:blip>
                    <a:srcRect l="2458" t="79201" r="2458" b="4553"/>
                    <a:stretch/>
                  </pic:blipFill>
                  <pic:spPr bwMode="auto">
                    <a:xfrm>
                      <a:off x="0" y="0"/>
                      <a:ext cx="5400000" cy="343538"/>
                    </a:xfrm>
                    <a:prstGeom prst="rect">
                      <a:avLst/>
                    </a:prstGeom>
                    <a:noFill/>
                    <a:ln>
                      <a:noFill/>
                    </a:ln>
                    <a:extLst>
                      <a:ext uri="{53640926-AAD7-44D8-BBD7-CCE9431645EC}">
                        <a14:shadowObscured xmlns:a14="http://schemas.microsoft.com/office/drawing/2010/main"/>
                      </a:ext>
                    </a:extLst>
                  </pic:spPr>
                </pic:pic>
              </a:graphicData>
            </a:graphic>
          </wp:inline>
        </w:drawing>
      </w:r>
    </w:p>
    <w:p w14:paraId="59BD1875" w14:textId="77777777" w:rsidR="009D7A4C" w:rsidRDefault="009D7A4C" w:rsidP="005D12AB">
      <w:pPr>
        <w:pStyle w:val="ListNumber"/>
      </w:pPr>
      <w:r w:rsidRPr="00E63BB3">
        <w:t>If you have reviewed the impact of the transfer and want to proceed, select ‘Transfer Services’.</w:t>
      </w:r>
    </w:p>
    <w:p w14:paraId="6ED41FAA" w14:textId="71314ED7" w:rsidR="009D7A4C" w:rsidRPr="00F43310" w:rsidRDefault="00C63338" w:rsidP="00F43310">
      <w:r>
        <w:rPr>
          <w:noProof/>
          <w:lang w:eastAsia="en-AU"/>
        </w:rPr>
        <w:drawing>
          <wp:inline distT="0" distB="0" distL="0" distR="0" wp14:anchorId="0BAA944E" wp14:editId="583ABEA2">
            <wp:extent cx="5398770" cy="1419225"/>
            <wp:effectExtent l="19050" t="19050" r="11430" b="28575"/>
            <wp:docPr id="31" name="Picture 31" descr="9. If you have reviewed the impact of the transfer and want to proceed, select ‘Transfer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02437" cy="1420189"/>
                    </a:xfrm>
                    <a:prstGeom prst="rect">
                      <a:avLst/>
                    </a:prstGeom>
                    <a:noFill/>
                    <a:ln>
                      <a:solidFill>
                        <a:schemeClr val="tx1"/>
                      </a:solidFill>
                    </a:ln>
                  </pic:spPr>
                </pic:pic>
              </a:graphicData>
            </a:graphic>
          </wp:inline>
        </w:drawing>
      </w:r>
    </w:p>
    <w:p w14:paraId="25384459" w14:textId="77777777" w:rsidR="00AD4317" w:rsidRDefault="00AD4317" w:rsidP="005D12AB">
      <w:pPr>
        <w:pStyle w:val="ListNumber"/>
      </w:pPr>
      <w:r>
        <w:lastRenderedPageBreak/>
        <w:t>To make any changes, click ‘Cancel’. To finalise the transfer, click ‘Confirm Transfer’.</w:t>
      </w:r>
    </w:p>
    <w:p w14:paraId="168C5083" w14:textId="6D0E054F" w:rsidR="006440C5" w:rsidRPr="00F43310" w:rsidRDefault="00B34BD0" w:rsidP="00F43310">
      <w:r>
        <w:rPr>
          <w:noProof/>
          <w:lang w:eastAsia="en-AU"/>
        </w:rPr>
        <w:drawing>
          <wp:inline distT="0" distB="0" distL="0" distR="0" wp14:anchorId="4DEE89EE" wp14:editId="31BFA1C1">
            <wp:extent cx="5398770" cy="2038350"/>
            <wp:effectExtent l="19050" t="19050" r="11430" b="19050"/>
            <wp:docPr id="2079" name="Picture 2079" descr="10. To make any changes, click ‘Cancel’. To finalise the transfer, click ‘Confirm Transf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401361" cy="2039328"/>
                    </a:xfrm>
                    <a:prstGeom prst="rect">
                      <a:avLst/>
                    </a:prstGeom>
                    <a:ln w="9525">
                      <a:solidFill>
                        <a:schemeClr val="tx1"/>
                      </a:solidFill>
                    </a:ln>
                  </pic:spPr>
                </pic:pic>
              </a:graphicData>
            </a:graphic>
          </wp:inline>
        </w:drawing>
      </w:r>
    </w:p>
    <w:p w14:paraId="39252CA6" w14:textId="77777777" w:rsidR="00E46ADC" w:rsidRDefault="00E46ADC" w:rsidP="005D12AB">
      <w:r>
        <w:t>The transfer may take some time to complete. Review the status of the transfer by reviewing the service transfer log.</w:t>
      </w:r>
    </w:p>
    <w:p w14:paraId="622EB5D8" w14:textId="77777777" w:rsidR="00E46ADC" w:rsidRPr="00F43310" w:rsidRDefault="00E46ADC" w:rsidP="007041CF">
      <w:r w:rsidRPr="007041CF">
        <w:rPr>
          <w:noProof/>
        </w:rPr>
        <w:drawing>
          <wp:inline distT="0" distB="0" distL="0" distR="0" wp14:anchorId="0EB17184" wp14:editId="5875F423">
            <wp:extent cx="5394864" cy="419100"/>
            <wp:effectExtent l="19050" t="19050" r="15875" b="19050"/>
            <wp:docPr id="34" name="Picture 34" descr="The transfer may take some time to complete. Review the status of the transfer by reviewing the service transfer 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404320" cy="419835"/>
                    </a:xfrm>
                    <a:prstGeom prst="rect">
                      <a:avLst/>
                    </a:prstGeom>
                    <a:ln w="9525">
                      <a:solidFill>
                        <a:schemeClr val="tx1"/>
                      </a:solidFill>
                    </a:ln>
                  </pic:spPr>
                </pic:pic>
              </a:graphicData>
            </a:graphic>
          </wp:inline>
        </w:drawing>
      </w:r>
    </w:p>
    <w:p w14:paraId="3502FBA2" w14:textId="77777777" w:rsidR="00E46ADC" w:rsidRDefault="00E46ADC" w:rsidP="005D12AB">
      <w:r>
        <w:t>When the transfer action has started, the impacted records in the transfer process will be locked – the transfer process will run in the background.</w:t>
      </w:r>
    </w:p>
    <w:p w14:paraId="7E86E7AE" w14:textId="2C653A2B" w:rsidR="00F8739B" w:rsidRDefault="00E46ADC" w:rsidP="005D12AB">
      <w:r>
        <w:t>Users will be able to view the records but cannot change the details until the transfer process has successfully completed.</w:t>
      </w:r>
    </w:p>
    <w:p w14:paraId="39B64896" w14:textId="374217C8" w:rsidR="007B5731" w:rsidRPr="00F8739B" w:rsidRDefault="00E6226B" w:rsidP="00F8739B">
      <w:pPr>
        <w:pStyle w:val="Heading2"/>
        <w:rPr>
          <w:sz w:val="28"/>
          <w:szCs w:val="28"/>
        </w:rPr>
      </w:pPr>
      <w:bookmarkStart w:id="5" w:name="_Toc158732163"/>
      <w:r w:rsidRPr="00F8739B">
        <w:rPr>
          <w:sz w:val="28"/>
          <w:szCs w:val="28"/>
        </w:rPr>
        <w:t>Viewing</w:t>
      </w:r>
      <w:r w:rsidR="007B5731" w:rsidRPr="00F8739B">
        <w:rPr>
          <w:sz w:val="28"/>
          <w:szCs w:val="28"/>
        </w:rPr>
        <w:t xml:space="preserve"> the service transfer log</w:t>
      </w:r>
      <w:bookmarkEnd w:id="5"/>
    </w:p>
    <w:p w14:paraId="6DF5FE32" w14:textId="77777777" w:rsidR="006A3BFD" w:rsidRDefault="006A3BFD" w:rsidP="006A3BFD">
      <w:r>
        <w:t>To review the status or details of previous and current service transfers, review the Transfer Log.</w:t>
      </w:r>
    </w:p>
    <w:p w14:paraId="6C4C815B" w14:textId="77777777" w:rsidR="009A32D6" w:rsidRDefault="009A32D6" w:rsidP="005D12AB">
      <w:pPr>
        <w:pStyle w:val="ListNumber"/>
        <w:numPr>
          <w:ilvl w:val="0"/>
          <w:numId w:val="5"/>
        </w:numPr>
        <w:ind w:left="470" w:hanging="357"/>
      </w:pPr>
      <w:r>
        <w:t>Select ‘Outlet administration’ from the homepage.</w:t>
      </w:r>
    </w:p>
    <w:p w14:paraId="2813D53B" w14:textId="5F390B88" w:rsidR="009A32D6" w:rsidRPr="00F43310" w:rsidRDefault="001C03D1" w:rsidP="00F43310">
      <w:r>
        <w:rPr>
          <w:noProof/>
        </w:rPr>
        <w:drawing>
          <wp:inline distT="0" distB="0" distL="0" distR="0" wp14:anchorId="2A7C3886" wp14:editId="3BE531F6">
            <wp:extent cx="5071988" cy="3129142"/>
            <wp:effectExtent l="19050" t="19050" r="14605" b="14605"/>
            <wp:docPr id="5" name="Picture 5" descr="Service and support portal home page. the Outlet Administration tile is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rvice and support portal home page. the Outlet Administration tile is highlighted."/>
                    <pic:cNvPicPr/>
                  </pic:nvPicPr>
                  <pic:blipFill>
                    <a:blip r:embed="rId14"/>
                    <a:stretch>
                      <a:fillRect/>
                    </a:stretch>
                  </pic:blipFill>
                  <pic:spPr>
                    <a:xfrm>
                      <a:off x="0" y="0"/>
                      <a:ext cx="5104069" cy="3148934"/>
                    </a:xfrm>
                    <a:prstGeom prst="rect">
                      <a:avLst/>
                    </a:prstGeom>
                    <a:ln>
                      <a:solidFill>
                        <a:schemeClr val="tx1"/>
                      </a:solidFill>
                    </a:ln>
                  </pic:spPr>
                </pic:pic>
              </a:graphicData>
            </a:graphic>
          </wp:inline>
        </w:drawing>
      </w:r>
    </w:p>
    <w:p w14:paraId="69F8BBD4" w14:textId="77777777" w:rsidR="003115AC" w:rsidRDefault="003115AC" w:rsidP="005D12AB">
      <w:pPr>
        <w:pStyle w:val="ListNumber"/>
        <w:numPr>
          <w:ilvl w:val="0"/>
          <w:numId w:val="5"/>
        </w:numPr>
        <w:ind w:left="473"/>
      </w:pPr>
      <w:r>
        <w:lastRenderedPageBreak/>
        <w:t>Select an outlet to access the transfer log.</w:t>
      </w:r>
    </w:p>
    <w:p w14:paraId="77E2BD30" w14:textId="46E36622" w:rsidR="003115AC" w:rsidRPr="00F43310" w:rsidRDefault="00296507" w:rsidP="00F43310">
      <w:r>
        <w:rPr>
          <w:noProof/>
          <w:lang w:eastAsia="en-AU"/>
        </w:rPr>
        <w:drawing>
          <wp:inline distT="0" distB="0" distL="0" distR="0" wp14:anchorId="1CD2104D" wp14:editId="4C179D02">
            <wp:extent cx="5398135" cy="1590675"/>
            <wp:effectExtent l="19050" t="19050" r="12065" b="28575"/>
            <wp:docPr id="10" name="Picture 10" descr="Outlet to access the transfer 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402497" cy="1591960"/>
                    </a:xfrm>
                    <a:prstGeom prst="rect">
                      <a:avLst/>
                    </a:prstGeom>
                    <a:noFill/>
                    <a:ln>
                      <a:solidFill>
                        <a:schemeClr val="tx1"/>
                      </a:solidFill>
                    </a:ln>
                  </pic:spPr>
                </pic:pic>
              </a:graphicData>
            </a:graphic>
          </wp:inline>
        </w:drawing>
      </w:r>
    </w:p>
    <w:p w14:paraId="23FF3DC1" w14:textId="77777777" w:rsidR="00E834BD" w:rsidRDefault="00E834BD" w:rsidP="005D12AB">
      <w:pPr>
        <w:pStyle w:val="ListNumber"/>
        <w:numPr>
          <w:ilvl w:val="0"/>
          <w:numId w:val="5"/>
        </w:numPr>
        <w:ind w:left="473"/>
      </w:pPr>
      <w:r w:rsidRPr="00922AEC">
        <w:t>From the “View outlet</w:t>
      </w:r>
      <w:r>
        <w:t>”</w:t>
      </w:r>
      <w:r w:rsidRPr="00922AEC">
        <w:t xml:space="preserve"> page click the “View service items” button.</w:t>
      </w:r>
    </w:p>
    <w:p w14:paraId="671F4D52" w14:textId="36E62A0B" w:rsidR="002A4FAB" w:rsidRPr="00F43310" w:rsidRDefault="002A4FAB" w:rsidP="00F43310">
      <w:r>
        <w:rPr>
          <w:noProof/>
        </w:rPr>
        <w:drawing>
          <wp:inline distT="0" distB="0" distL="0" distR="0" wp14:anchorId="36E7A703" wp14:editId="26E1435A">
            <wp:extent cx="5399405" cy="1590675"/>
            <wp:effectExtent l="19050" t="19050" r="10795" b="28575"/>
            <wp:docPr id="9" name="Picture 9" descr="13. From the “View outlet” page click the “View service items”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13. From the “View outlet” page click the “View service items” butto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00007" cy="1590852"/>
                    </a:xfrm>
                    <a:prstGeom prst="rect">
                      <a:avLst/>
                    </a:prstGeom>
                    <a:noFill/>
                    <a:ln>
                      <a:solidFill>
                        <a:schemeClr val="tx1"/>
                      </a:solidFill>
                    </a:ln>
                  </pic:spPr>
                </pic:pic>
              </a:graphicData>
            </a:graphic>
          </wp:inline>
        </w:drawing>
      </w:r>
    </w:p>
    <w:p w14:paraId="00103E1B" w14:textId="77777777" w:rsidR="00AC66F5" w:rsidRDefault="00AC66F5" w:rsidP="005D12AB">
      <w:pPr>
        <w:pStyle w:val="ListNumber"/>
        <w:numPr>
          <w:ilvl w:val="0"/>
          <w:numId w:val="5"/>
        </w:numPr>
        <w:ind w:left="473"/>
      </w:pPr>
      <w:r>
        <w:t>Select the ‘View Transfer Logs’ button.</w:t>
      </w:r>
    </w:p>
    <w:p w14:paraId="3719A9B2" w14:textId="12A3DBAF" w:rsidR="00AC66F5" w:rsidRPr="00F43310" w:rsidRDefault="00110198" w:rsidP="00F43310">
      <w:r>
        <w:rPr>
          <w:noProof/>
          <w:lang w:eastAsia="en-AU"/>
        </w:rPr>
        <w:drawing>
          <wp:inline distT="0" distB="0" distL="0" distR="0" wp14:anchorId="332F7A8D" wp14:editId="448335DF">
            <wp:extent cx="5398135" cy="295275"/>
            <wp:effectExtent l="19050" t="19050" r="12065" b="28575"/>
            <wp:docPr id="5167" name="Picture 5167" descr="Select the 'View TRansfer Logs'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t="49213"/>
                    <a:stretch/>
                  </pic:blipFill>
                  <pic:spPr bwMode="auto">
                    <a:xfrm>
                      <a:off x="0" y="0"/>
                      <a:ext cx="5400370" cy="295397"/>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055196FA" w14:textId="77777777" w:rsidR="00AA556D" w:rsidRDefault="00AA556D" w:rsidP="00EB66A6">
      <w:pPr>
        <w:pStyle w:val="ListBullet"/>
      </w:pPr>
      <w:r>
        <w:t>Transfer type (service or person)</w:t>
      </w:r>
    </w:p>
    <w:p w14:paraId="2619BAE1" w14:textId="77777777" w:rsidR="00AA556D" w:rsidRDefault="00AA556D" w:rsidP="00EB66A6">
      <w:pPr>
        <w:pStyle w:val="ListBullet"/>
      </w:pPr>
      <w:r>
        <w:t>Transfer date</w:t>
      </w:r>
    </w:p>
    <w:p w14:paraId="44231D35" w14:textId="77777777" w:rsidR="00AA556D" w:rsidRDefault="00AA556D" w:rsidP="00EB66A6">
      <w:pPr>
        <w:pStyle w:val="ListBullet"/>
      </w:pPr>
      <w:r>
        <w:t>Status (In progress, completed, completed with errors)</w:t>
      </w:r>
    </w:p>
    <w:p w14:paraId="1224616F" w14:textId="77777777" w:rsidR="00AA556D" w:rsidRDefault="00AA556D" w:rsidP="005E6A99">
      <w:r>
        <w:t>For more detailed information about the transfer, click the magnifying glass icon.</w:t>
      </w:r>
    </w:p>
    <w:p w14:paraId="15441EEA" w14:textId="5988C9FB" w:rsidR="00110198" w:rsidRPr="00F43310" w:rsidRDefault="005141E0" w:rsidP="00F43310">
      <w:r>
        <w:rPr>
          <w:noProof/>
          <w:lang w:eastAsia="en-AU"/>
        </w:rPr>
        <w:drawing>
          <wp:inline distT="0" distB="0" distL="0" distR="0" wp14:anchorId="6FB9896F" wp14:editId="52B64C31">
            <wp:extent cx="5398685" cy="847725"/>
            <wp:effectExtent l="19050" t="19050" r="12065" b="9525"/>
            <wp:docPr id="21" name="Picture 21" descr="Transfer lo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401100" cy="848104"/>
                    </a:xfrm>
                    <a:prstGeom prst="rect">
                      <a:avLst/>
                    </a:prstGeom>
                    <a:noFill/>
                    <a:ln>
                      <a:solidFill>
                        <a:schemeClr val="tx1"/>
                      </a:solidFill>
                    </a:ln>
                  </pic:spPr>
                </pic:pic>
              </a:graphicData>
            </a:graphic>
          </wp:inline>
        </w:drawing>
      </w:r>
    </w:p>
    <w:p w14:paraId="3B8F544E" w14:textId="77777777" w:rsidR="00B930EE" w:rsidRDefault="00B930EE" w:rsidP="005E6A99">
      <w:r>
        <w:t>If a transfer has not been completed successfully, you can retry by clicking the magnifying glass icon, selecting the items you want to retry and clicking the ‘Retry Selected’ button.</w:t>
      </w:r>
    </w:p>
    <w:p w14:paraId="13EB18D4" w14:textId="6E9C7772" w:rsidR="002A1C58" w:rsidRDefault="002A1C58" w:rsidP="00F43310">
      <w:r>
        <w:rPr>
          <w:noProof/>
          <w:lang w:eastAsia="en-AU"/>
        </w:rPr>
        <w:drawing>
          <wp:inline distT="0" distB="0" distL="0" distR="0" wp14:anchorId="33B51D4C" wp14:editId="31B2141C">
            <wp:extent cx="5398135" cy="1457325"/>
            <wp:effectExtent l="19050" t="19050" r="12065" b="28575"/>
            <wp:docPr id="22" name="Picture 22" descr="Transfer logs - retry sel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402365" cy="1458467"/>
                    </a:xfrm>
                    <a:prstGeom prst="rect">
                      <a:avLst/>
                    </a:prstGeom>
                    <a:noFill/>
                    <a:ln>
                      <a:solidFill>
                        <a:schemeClr val="tx1"/>
                      </a:solidFill>
                    </a:ln>
                  </pic:spPr>
                </pic:pic>
              </a:graphicData>
            </a:graphic>
          </wp:inline>
        </w:drawing>
      </w:r>
    </w:p>
    <w:p w14:paraId="039F3AE4" w14:textId="5B445FDF" w:rsidR="007041CF" w:rsidRPr="007041CF" w:rsidRDefault="007041CF" w:rsidP="007041CF">
      <w:pPr>
        <w:pStyle w:val="Style1"/>
      </w:pPr>
      <w:r w:rsidRPr="00352F69">
        <w:rPr>
          <w:color w:val="FF0000"/>
          <w:sz w:val="24"/>
        </w:rPr>
        <w:lastRenderedPageBreak/>
        <w:t>!</w:t>
      </w:r>
      <w:r>
        <w:t xml:space="preserve"> </w:t>
      </w:r>
      <w:r w:rsidRPr="007041CF">
        <w:t xml:space="preserve">If you continue to experience issues with transferring services, please call My Aged Care on </w:t>
      </w:r>
      <w:r w:rsidRPr="007041CF">
        <w:rPr>
          <w:rStyle w:val="Strong"/>
        </w:rPr>
        <w:t>1800 836 799</w:t>
      </w:r>
      <w:r w:rsidRPr="007041CF">
        <w:t xml:space="preserve"> for assistance.</w:t>
      </w:r>
    </w:p>
    <w:p w14:paraId="2E6634E6" w14:textId="565FCF32" w:rsidR="00727E3B" w:rsidRDefault="00E6226B" w:rsidP="00F8739B">
      <w:pPr>
        <w:pStyle w:val="Heading2"/>
        <w:spacing w:before="480" w:line="259" w:lineRule="auto"/>
        <w:rPr>
          <w:sz w:val="28"/>
          <w:szCs w:val="28"/>
        </w:rPr>
      </w:pPr>
      <w:bookmarkStart w:id="6" w:name="_Toc158732164"/>
      <w:r>
        <w:rPr>
          <w:sz w:val="28"/>
          <w:szCs w:val="28"/>
        </w:rPr>
        <w:t>Transferring</w:t>
      </w:r>
      <w:r w:rsidR="00727E3B">
        <w:rPr>
          <w:sz w:val="28"/>
          <w:szCs w:val="28"/>
        </w:rPr>
        <w:t xml:space="preserve"> a clie</w:t>
      </w:r>
      <w:r w:rsidR="00057707">
        <w:rPr>
          <w:sz w:val="28"/>
          <w:szCs w:val="28"/>
        </w:rPr>
        <w:t>nt between services</w:t>
      </w:r>
      <w:bookmarkEnd w:id="6"/>
    </w:p>
    <w:p w14:paraId="6A43D1BE" w14:textId="77777777" w:rsidR="00F24F0F" w:rsidRDefault="008E5490" w:rsidP="00287ACD">
      <w:r>
        <w:t>Organisation administrators may choose one or multiple clients to transfer between services (of the same service type) within an outlet or to another outlet within their organisation.</w:t>
      </w:r>
      <w:r w:rsidR="00F24F0F">
        <w:t xml:space="preserve"> </w:t>
      </w:r>
    </w:p>
    <w:p w14:paraId="0632BFA7" w14:textId="242410FD" w:rsidR="008E5490" w:rsidRDefault="008E5490" w:rsidP="00287ACD">
      <w:r w:rsidRPr="00007C72">
        <w:t xml:space="preserve">This functionality is not available for residential care (permanent and respite). Please follow the </w:t>
      </w:r>
      <w:r>
        <w:t>existing</w:t>
      </w:r>
      <w:r w:rsidRPr="00007C72">
        <w:t xml:space="preserve"> process using the</w:t>
      </w:r>
      <w:r w:rsidRPr="00287ACD">
        <w:t xml:space="preserve"> </w:t>
      </w:r>
      <w:hyperlink r:id="rId31" w:history="1">
        <w:r w:rsidRPr="00287ACD">
          <w:rPr>
            <w:rStyle w:val="Hyperlink"/>
          </w:rPr>
          <w:t xml:space="preserve">Application to </w:t>
        </w:r>
        <w:r w:rsidR="00287ACD" w:rsidRPr="00287ACD">
          <w:rPr>
            <w:rStyle w:val="Hyperlink"/>
          </w:rPr>
          <w:t>V</w:t>
        </w:r>
        <w:r w:rsidRPr="00287ACD">
          <w:rPr>
            <w:rStyle w:val="Hyperlink"/>
          </w:rPr>
          <w:t xml:space="preserve">ary </w:t>
        </w:r>
        <w:r w:rsidR="00287ACD" w:rsidRPr="00287ACD">
          <w:rPr>
            <w:rStyle w:val="Hyperlink"/>
          </w:rPr>
          <w:t>C</w:t>
        </w:r>
        <w:r w:rsidRPr="00287ACD">
          <w:rPr>
            <w:rStyle w:val="Hyperlink"/>
          </w:rPr>
          <w:t xml:space="preserve">onditions of </w:t>
        </w:r>
        <w:r w:rsidR="00287ACD" w:rsidRPr="00287ACD">
          <w:rPr>
            <w:rStyle w:val="Hyperlink"/>
          </w:rPr>
          <w:t>A</w:t>
        </w:r>
        <w:r w:rsidRPr="00287ACD">
          <w:rPr>
            <w:rStyle w:val="Hyperlink"/>
          </w:rPr>
          <w:t>llocation</w:t>
        </w:r>
      </w:hyperlink>
      <w:r w:rsidRPr="00007C72">
        <w:t xml:space="preserve"> form.</w:t>
      </w:r>
    </w:p>
    <w:p w14:paraId="63EF137A" w14:textId="77777777" w:rsidR="008E5490" w:rsidRPr="00862B3F" w:rsidRDefault="008E5490" w:rsidP="00287ACD">
      <w:r>
        <w:t xml:space="preserve">To transfer a client(s) to another service, follow the steps below. </w:t>
      </w:r>
    </w:p>
    <w:p w14:paraId="296998F6" w14:textId="77777777" w:rsidR="00D75064" w:rsidRDefault="00D75064" w:rsidP="005D12AB">
      <w:pPr>
        <w:pStyle w:val="ListNumber"/>
        <w:numPr>
          <w:ilvl w:val="0"/>
          <w:numId w:val="7"/>
        </w:numPr>
        <w:ind w:left="470" w:hanging="357"/>
      </w:pPr>
      <w:r w:rsidRPr="007E6C28">
        <w:t>From</w:t>
      </w:r>
      <w:r>
        <w:t xml:space="preserve"> ‘Outlet administration’ select the outlet that contains the clients you wish to transfer to another service (the outlet you want to transfer clients ‘from’).</w:t>
      </w:r>
    </w:p>
    <w:p w14:paraId="3E3AD841" w14:textId="0AFEF09B" w:rsidR="00D75064" w:rsidRPr="00F43310" w:rsidRDefault="00E93024" w:rsidP="00F43310">
      <w:r>
        <w:rPr>
          <w:noProof/>
          <w:lang w:eastAsia="en-AU"/>
        </w:rPr>
        <w:drawing>
          <wp:inline distT="0" distB="0" distL="0" distR="0" wp14:anchorId="7161322A" wp14:editId="477E1A23">
            <wp:extent cx="5399405" cy="1704975"/>
            <wp:effectExtent l="19050" t="19050" r="10795" b="28575"/>
            <wp:docPr id="13" name="Picture 13" descr="Organisation administrators may choose one or multiple clients to transfer between services (of the same service type) within an outlet or to another outlet within their organisation. &#10;   This functionality is not available for residential care (permanent and respite). Please follow the exsiting process using the Application to vary conditions of allocation form.To transfer a client(s) to another service, follow the steps below. &#10;1. From ‘Outlet administration’ select the outlet that contains the clients you wish to transfer to another service (the outlet you want to transfer clients ‘fro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00004" cy="1705164"/>
                    </a:xfrm>
                    <a:prstGeom prst="rect">
                      <a:avLst/>
                    </a:prstGeom>
                    <a:noFill/>
                    <a:ln>
                      <a:solidFill>
                        <a:schemeClr val="tx1"/>
                      </a:solidFill>
                    </a:ln>
                  </pic:spPr>
                </pic:pic>
              </a:graphicData>
            </a:graphic>
          </wp:inline>
        </w:drawing>
      </w:r>
    </w:p>
    <w:p w14:paraId="7A7003A9" w14:textId="77777777" w:rsidR="00487A9E" w:rsidRDefault="00487A9E" w:rsidP="005D12AB">
      <w:pPr>
        <w:pStyle w:val="ListNumber"/>
        <w:numPr>
          <w:ilvl w:val="0"/>
          <w:numId w:val="7"/>
        </w:numPr>
        <w:ind w:left="470" w:hanging="357"/>
      </w:pPr>
      <w:r w:rsidRPr="00922AEC">
        <w:t>From the “View outlet</w:t>
      </w:r>
      <w:r>
        <w:t>”</w:t>
      </w:r>
      <w:r w:rsidRPr="00922AEC">
        <w:t xml:space="preserve"> page click the “View service items” button.</w:t>
      </w:r>
    </w:p>
    <w:p w14:paraId="19AB9094" w14:textId="7CCA3E71" w:rsidR="00E0733E" w:rsidRPr="00EB66A6" w:rsidRDefault="004E4208" w:rsidP="00EB66A6">
      <w:r>
        <w:rPr>
          <w:noProof/>
        </w:rPr>
        <w:drawing>
          <wp:inline distT="0" distB="0" distL="0" distR="0" wp14:anchorId="75CA681A" wp14:editId="21A239A3">
            <wp:extent cx="5399405" cy="1724025"/>
            <wp:effectExtent l="19050" t="19050" r="10795" b="28575"/>
            <wp:docPr id="11" name="Picture 11" descr="2. From the “View outlet” page click the “View service items”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2. From the “View outlet” page click the “View service items” butto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00003" cy="1724216"/>
                    </a:xfrm>
                    <a:prstGeom prst="rect">
                      <a:avLst/>
                    </a:prstGeom>
                    <a:noFill/>
                    <a:ln w="9525">
                      <a:solidFill>
                        <a:schemeClr val="tx1"/>
                      </a:solidFill>
                    </a:ln>
                  </pic:spPr>
                </pic:pic>
              </a:graphicData>
            </a:graphic>
          </wp:inline>
        </w:drawing>
      </w:r>
    </w:p>
    <w:p w14:paraId="7CA1FF2C" w14:textId="77777777" w:rsidR="00140F61" w:rsidRDefault="00140F61" w:rsidP="005D12AB">
      <w:pPr>
        <w:pStyle w:val="ListNumber"/>
        <w:numPr>
          <w:ilvl w:val="0"/>
          <w:numId w:val="7"/>
        </w:numPr>
        <w:ind w:left="470" w:hanging="357"/>
      </w:pPr>
      <w:r w:rsidRPr="00566CEA">
        <w:t>Click</w:t>
      </w:r>
      <w:r>
        <w:t xml:space="preserve"> on the ‘Transfer Clients’ button to start the process of transferring client(s) to another service.</w:t>
      </w:r>
    </w:p>
    <w:p w14:paraId="602D3149" w14:textId="2CACB3F3" w:rsidR="00E0733E" w:rsidRPr="00F43310" w:rsidRDefault="00C92E02" w:rsidP="00F43310">
      <w:r>
        <w:rPr>
          <w:noProof/>
          <w:lang w:eastAsia="en-AU"/>
        </w:rPr>
        <w:drawing>
          <wp:inline distT="0" distB="0" distL="0" distR="0" wp14:anchorId="78802DF7" wp14:editId="74A32979">
            <wp:extent cx="4314190" cy="323850"/>
            <wp:effectExtent l="19050" t="19050" r="10160" b="19050"/>
            <wp:docPr id="5159" name="Picture 5159" descr="3. Click on the ‘Transfer Clients’ button to start the process of transferring client(s) to another servi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321224" cy="324378"/>
                    </a:xfrm>
                    <a:prstGeom prst="rect">
                      <a:avLst/>
                    </a:prstGeom>
                    <a:noFill/>
                    <a:ln>
                      <a:solidFill>
                        <a:schemeClr val="tx1"/>
                      </a:solidFill>
                    </a:ln>
                  </pic:spPr>
                </pic:pic>
              </a:graphicData>
            </a:graphic>
          </wp:inline>
        </w:drawing>
      </w:r>
    </w:p>
    <w:p w14:paraId="23C54F99" w14:textId="77777777" w:rsidR="007C5B56" w:rsidRDefault="007C5B56" w:rsidP="005D12AB">
      <w:pPr>
        <w:pStyle w:val="ListNumber"/>
        <w:numPr>
          <w:ilvl w:val="0"/>
          <w:numId w:val="7"/>
        </w:numPr>
        <w:ind w:left="470" w:hanging="357"/>
      </w:pPr>
      <w:r>
        <w:lastRenderedPageBreak/>
        <w:t>Select the service that the client(s) is currently linked to. You can use the search functionality to find specific service types. Click ‘Next’ to continue.</w:t>
      </w:r>
    </w:p>
    <w:p w14:paraId="5C7F09A2" w14:textId="10A17DD2" w:rsidR="006E4E6D" w:rsidRPr="00F43310" w:rsidRDefault="006E4E6D" w:rsidP="00F43310">
      <w:r>
        <w:rPr>
          <w:noProof/>
          <w:lang w:eastAsia="en-AU"/>
        </w:rPr>
        <w:drawing>
          <wp:inline distT="0" distB="0" distL="0" distR="0" wp14:anchorId="1E649F55" wp14:editId="64277DF8">
            <wp:extent cx="5398135" cy="2057400"/>
            <wp:effectExtent l="19050" t="19050" r="12065" b="19050"/>
            <wp:docPr id="23" name="Picture 23" descr="Transfer clients - select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402640" cy="2059117"/>
                    </a:xfrm>
                    <a:prstGeom prst="rect">
                      <a:avLst/>
                    </a:prstGeom>
                    <a:noFill/>
                    <a:ln>
                      <a:solidFill>
                        <a:schemeClr val="tx1"/>
                      </a:solidFill>
                    </a:ln>
                  </pic:spPr>
                </pic:pic>
              </a:graphicData>
            </a:graphic>
          </wp:inline>
        </w:drawing>
      </w:r>
    </w:p>
    <w:p w14:paraId="24D3A26D" w14:textId="47455CC0" w:rsidR="00E0733E" w:rsidRDefault="00617A41" w:rsidP="005D12AB">
      <w:pPr>
        <w:pStyle w:val="ListNumber"/>
        <w:numPr>
          <w:ilvl w:val="0"/>
          <w:numId w:val="7"/>
        </w:numPr>
        <w:ind w:left="470" w:hanging="357"/>
      </w:pPr>
      <w:r>
        <w:t>You can choose to transfer clients to another service within the same outlet or transfer clients to another service under another outlet. Choose from one of these options and select ‘Next’.</w:t>
      </w:r>
    </w:p>
    <w:p w14:paraId="2520E71A" w14:textId="6EBEC8DA" w:rsidR="00617A41" w:rsidRPr="00F43310" w:rsidRDefault="00BD7C0C" w:rsidP="00F43310">
      <w:r>
        <w:rPr>
          <w:noProof/>
          <w:lang w:eastAsia="en-AU"/>
        </w:rPr>
        <w:drawing>
          <wp:inline distT="0" distB="0" distL="0" distR="0" wp14:anchorId="282C4F94" wp14:editId="46F5A852">
            <wp:extent cx="5400000" cy="1598400"/>
            <wp:effectExtent l="19050" t="19050" r="10795" b="20955"/>
            <wp:docPr id="24" name="Picture 24" descr="Transfer clien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400000" cy="1598400"/>
                    </a:xfrm>
                    <a:prstGeom prst="rect">
                      <a:avLst/>
                    </a:prstGeom>
                    <a:noFill/>
                    <a:ln>
                      <a:solidFill>
                        <a:schemeClr val="tx1"/>
                      </a:solidFill>
                    </a:ln>
                  </pic:spPr>
                </pic:pic>
              </a:graphicData>
            </a:graphic>
          </wp:inline>
        </w:drawing>
      </w:r>
    </w:p>
    <w:p w14:paraId="2F1E81B8" w14:textId="77777777" w:rsidR="00E25603" w:rsidRDefault="00E25603" w:rsidP="0024542B">
      <w:r>
        <w:t>If you select ‘Transfer to another outlet’ (for Organisation Administrators only) you will not be able to proceed unless you select an outlet.</w:t>
      </w:r>
    </w:p>
    <w:p w14:paraId="2C1CD696" w14:textId="77777777" w:rsidR="0024542B" w:rsidRPr="005D12AB" w:rsidRDefault="0024542B" w:rsidP="005D12AB">
      <w:pPr>
        <w:pStyle w:val="ListNumber"/>
        <w:numPr>
          <w:ilvl w:val="0"/>
          <w:numId w:val="7"/>
        </w:numPr>
        <w:ind w:left="470" w:hanging="357"/>
      </w:pPr>
      <w:r w:rsidRPr="005D12AB">
        <w:t xml:space="preserve">Select the service that you want to transfer the clients to, from the list provided. </w:t>
      </w:r>
    </w:p>
    <w:p w14:paraId="2402468D" w14:textId="028B1121" w:rsidR="007C5B56" w:rsidRPr="005D12AB" w:rsidRDefault="0024542B" w:rsidP="005D12AB">
      <w:r w:rsidRPr="005D12AB">
        <w:t>Click ‘Next’ to continue.</w:t>
      </w:r>
    </w:p>
    <w:p w14:paraId="738F8ACB" w14:textId="56A05AE0" w:rsidR="00850923" w:rsidRDefault="000E5297" w:rsidP="00F43310">
      <w:r>
        <w:rPr>
          <w:noProof/>
          <w:lang w:eastAsia="en-AU"/>
        </w:rPr>
        <w:drawing>
          <wp:inline distT="0" distB="0" distL="0" distR="0" wp14:anchorId="1543827A" wp14:editId="59F142E8">
            <wp:extent cx="5400000" cy="2008800"/>
            <wp:effectExtent l="19050" t="19050" r="10795" b="10795"/>
            <wp:docPr id="25" name="Picture 25" descr="Transfer clients - select Next to contin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400000" cy="2008800"/>
                    </a:xfrm>
                    <a:prstGeom prst="rect">
                      <a:avLst/>
                    </a:prstGeom>
                    <a:noFill/>
                    <a:ln>
                      <a:solidFill>
                        <a:schemeClr val="tx1"/>
                      </a:solidFill>
                    </a:ln>
                  </pic:spPr>
                </pic:pic>
              </a:graphicData>
            </a:graphic>
          </wp:inline>
        </w:drawing>
      </w:r>
    </w:p>
    <w:p w14:paraId="60CB1771" w14:textId="77777777" w:rsidR="00850923" w:rsidRDefault="00850923">
      <w:pPr>
        <w:spacing w:before="0" w:after="0" w:line="240" w:lineRule="auto"/>
      </w:pPr>
      <w:r>
        <w:br w:type="page"/>
      </w:r>
    </w:p>
    <w:p w14:paraId="0892C5A1" w14:textId="6D6E5A1E" w:rsidR="00C94E51" w:rsidRDefault="00C94E51" w:rsidP="005D12AB">
      <w:pPr>
        <w:pStyle w:val="ListNumber"/>
        <w:numPr>
          <w:ilvl w:val="0"/>
          <w:numId w:val="7"/>
        </w:numPr>
        <w:ind w:left="470" w:hanging="357"/>
      </w:pPr>
      <w:r>
        <w:lastRenderedPageBreak/>
        <w:t>Select the client(s) that you wish to transfer to the new service. Click ‘Transfer clients’ to continue.</w:t>
      </w:r>
    </w:p>
    <w:p w14:paraId="16231B1F" w14:textId="77777777" w:rsidR="00C94E51" w:rsidRPr="00F43310" w:rsidRDefault="00C94E51" w:rsidP="00F43310">
      <w:r w:rsidRPr="00F43310">
        <w:t xml:space="preserve">You can also search for client to transfer by their last name, first name, or their Aged Care User ID. </w:t>
      </w:r>
    </w:p>
    <w:p w14:paraId="3EC03712" w14:textId="74E1D130" w:rsidR="007C5B56" w:rsidRPr="00F43310" w:rsidRDefault="00C94E51" w:rsidP="00F43310">
      <w:r w:rsidRPr="00F43310">
        <w:t>You can transfer up to a maximum of 50 clients at one time.</w:t>
      </w:r>
    </w:p>
    <w:p w14:paraId="5138AA00" w14:textId="6EB871F0" w:rsidR="00D76A01" w:rsidRPr="00F43310" w:rsidRDefault="00D76A01" w:rsidP="00F43310">
      <w:r>
        <w:rPr>
          <w:noProof/>
          <w:lang w:eastAsia="en-AU"/>
        </w:rPr>
        <w:drawing>
          <wp:inline distT="0" distB="0" distL="0" distR="0" wp14:anchorId="56D56561" wp14:editId="539F216A">
            <wp:extent cx="5400000" cy="2163600"/>
            <wp:effectExtent l="19050" t="19050" r="10795" b="27305"/>
            <wp:docPr id="26" name="Picture 26" descr="Transfer clients - select cli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400000" cy="2163600"/>
                    </a:xfrm>
                    <a:prstGeom prst="rect">
                      <a:avLst/>
                    </a:prstGeom>
                    <a:noFill/>
                    <a:ln>
                      <a:solidFill>
                        <a:schemeClr val="tx1"/>
                      </a:solidFill>
                    </a:ln>
                  </pic:spPr>
                </pic:pic>
              </a:graphicData>
            </a:graphic>
          </wp:inline>
        </w:drawing>
      </w:r>
    </w:p>
    <w:p w14:paraId="3E6D509B" w14:textId="7642C6B2" w:rsidR="002F2D4D" w:rsidRDefault="002F2D4D" w:rsidP="005D12AB">
      <w:pPr>
        <w:pStyle w:val="ListNumber"/>
        <w:numPr>
          <w:ilvl w:val="0"/>
          <w:numId w:val="7"/>
        </w:numPr>
        <w:ind w:left="470" w:hanging="357"/>
      </w:pPr>
      <w:r>
        <w:t xml:space="preserve">Review the information about the transfer. </w:t>
      </w:r>
    </w:p>
    <w:p w14:paraId="3B3D29A4" w14:textId="77777777" w:rsidR="002F2D4D" w:rsidRDefault="002F2D4D" w:rsidP="00F43310">
      <w:pPr>
        <w:pStyle w:val="ListBullet"/>
      </w:pPr>
      <w:r>
        <w:t xml:space="preserve">To make any changes, click ‘Cancel’. </w:t>
      </w:r>
    </w:p>
    <w:p w14:paraId="77DC1848" w14:textId="02BA2C2B" w:rsidR="002F2D4D" w:rsidRDefault="002F2D4D" w:rsidP="00F43310">
      <w:pPr>
        <w:pStyle w:val="ListBullet"/>
      </w:pPr>
      <w:r>
        <w:t>If correct, select ‘Confirm transfer’ to complete the process.</w:t>
      </w:r>
    </w:p>
    <w:p w14:paraId="66222576" w14:textId="11D6978B" w:rsidR="00F8739B" w:rsidRDefault="00655AE3" w:rsidP="00F43310">
      <w:r w:rsidRPr="00396390">
        <w:rPr>
          <w:noProof/>
          <w:lang w:eastAsia="en-AU"/>
        </w:rPr>
        <w:drawing>
          <wp:inline distT="0" distB="0" distL="0" distR="0" wp14:anchorId="3267231D" wp14:editId="6FCDE486">
            <wp:extent cx="5398770" cy="2286000"/>
            <wp:effectExtent l="19050" t="19050" r="11430" b="19050"/>
            <wp:docPr id="27" name="Picture 27" descr="Transfer clients - confirm transf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402046" cy="2287387"/>
                    </a:xfrm>
                    <a:prstGeom prst="rect">
                      <a:avLst/>
                    </a:prstGeom>
                    <a:noFill/>
                    <a:ln>
                      <a:solidFill>
                        <a:schemeClr val="tx1"/>
                      </a:solidFill>
                    </a:ln>
                  </pic:spPr>
                </pic:pic>
              </a:graphicData>
            </a:graphic>
          </wp:inline>
        </w:drawing>
      </w:r>
    </w:p>
    <w:p w14:paraId="5038104F" w14:textId="4424BE53" w:rsidR="00655AE3" w:rsidRPr="00F43310" w:rsidRDefault="00F8739B" w:rsidP="00730EF1">
      <w:pPr>
        <w:spacing w:before="0" w:after="0" w:line="240" w:lineRule="auto"/>
      </w:pPr>
      <w:r>
        <w:br w:type="page"/>
      </w:r>
    </w:p>
    <w:p w14:paraId="373B566D" w14:textId="1B68F2BF" w:rsidR="00610197" w:rsidRDefault="00E6226B" w:rsidP="00F8739B">
      <w:pPr>
        <w:pStyle w:val="Heading2"/>
        <w:spacing w:before="480" w:line="259" w:lineRule="auto"/>
        <w:rPr>
          <w:sz w:val="28"/>
          <w:szCs w:val="28"/>
        </w:rPr>
      </w:pPr>
      <w:bookmarkStart w:id="7" w:name="_Toc158732165"/>
      <w:r>
        <w:rPr>
          <w:sz w:val="28"/>
          <w:szCs w:val="28"/>
        </w:rPr>
        <w:lastRenderedPageBreak/>
        <w:t>Viewing</w:t>
      </w:r>
      <w:r w:rsidR="00610197">
        <w:rPr>
          <w:sz w:val="28"/>
          <w:szCs w:val="28"/>
        </w:rPr>
        <w:t xml:space="preserve"> the client transfer log</w:t>
      </w:r>
      <w:bookmarkEnd w:id="7"/>
    </w:p>
    <w:p w14:paraId="5DE008F1" w14:textId="77777777" w:rsidR="00E80091" w:rsidRDefault="00E80091" w:rsidP="00D64E8B">
      <w:r>
        <w:t xml:space="preserve">To review the status or details of previous and current client transfers, review the Transfer Log. </w:t>
      </w:r>
    </w:p>
    <w:p w14:paraId="01EF1FA5" w14:textId="402C144C" w:rsidR="0050529D" w:rsidRDefault="0050529D" w:rsidP="005D12AB">
      <w:pPr>
        <w:pStyle w:val="ListNumber"/>
        <w:numPr>
          <w:ilvl w:val="0"/>
          <w:numId w:val="8"/>
        </w:numPr>
        <w:ind w:left="470" w:hanging="357"/>
      </w:pPr>
      <w:r w:rsidRPr="0050529D">
        <w:t>Select ‘Outlet administration’ from the homepage.</w:t>
      </w:r>
    </w:p>
    <w:p w14:paraId="66933C5A" w14:textId="535811C1" w:rsidR="0050529D" w:rsidRPr="00F43310" w:rsidRDefault="001C03D1" w:rsidP="00F43310">
      <w:r>
        <w:rPr>
          <w:noProof/>
        </w:rPr>
        <w:drawing>
          <wp:inline distT="0" distB="0" distL="0" distR="0" wp14:anchorId="1D2F6065" wp14:editId="52C91A7E">
            <wp:extent cx="3858844" cy="2380700"/>
            <wp:effectExtent l="19050" t="19050" r="27940" b="19685"/>
            <wp:docPr id="7" name="Picture 7" descr="Service and support portal home page. The Outlet Administration tile is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ervice and support portal home page. The Outlet Administration tile is highlighted."/>
                    <pic:cNvPicPr/>
                  </pic:nvPicPr>
                  <pic:blipFill>
                    <a:blip r:embed="rId14"/>
                    <a:stretch>
                      <a:fillRect/>
                    </a:stretch>
                  </pic:blipFill>
                  <pic:spPr>
                    <a:xfrm>
                      <a:off x="0" y="0"/>
                      <a:ext cx="3870006" cy="2387586"/>
                    </a:xfrm>
                    <a:prstGeom prst="rect">
                      <a:avLst/>
                    </a:prstGeom>
                    <a:ln>
                      <a:solidFill>
                        <a:schemeClr val="tx1"/>
                      </a:solidFill>
                    </a:ln>
                  </pic:spPr>
                </pic:pic>
              </a:graphicData>
            </a:graphic>
          </wp:inline>
        </w:drawing>
      </w:r>
    </w:p>
    <w:p w14:paraId="1786C09D" w14:textId="418F69FC" w:rsidR="00234304" w:rsidRDefault="00234304" w:rsidP="005D12AB">
      <w:pPr>
        <w:pStyle w:val="ListNumber"/>
        <w:numPr>
          <w:ilvl w:val="0"/>
          <w:numId w:val="8"/>
        </w:numPr>
        <w:ind w:left="470" w:hanging="357"/>
      </w:pPr>
      <w:r w:rsidRPr="00234304">
        <w:t>Select an outlet to access the transfer log.</w:t>
      </w:r>
    </w:p>
    <w:p w14:paraId="318EFA44" w14:textId="1F2BE9EB" w:rsidR="00234304" w:rsidRPr="00F43310" w:rsidRDefault="00D64E8B" w:rsidP="00F43310">
      <w:r>
        <w:rPr>
          <w:noProof/>
          <w:lang w:eastAsia="en-AU"/>
        </w:rPr>
        <w:drawing>
          <wp:inline distT="0" distB="0" distL="0" distR="0" wp14:anchorId="72B9A81F" wp14:editId="7AE1E62C">
            <wp:extent cx="2080895" cy="2105025"/>
            <wp:effectExtent l="19050" t="19050" r="14605" b="28575"/>
            <wp:docPr id="5156" name="Picture 5156" descr="Outlet administration - view out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088946" cy="2113169"/>
                    </a:xfrm>
                    <a:prstGeom prst="rect">
                      <a:avLst/>
                    </a:prstGeom>
                    <a:noFill/>
                    <a:ln>
                      <a:solidFill>
                        <a:schemeClr val="tx1"/>
                      </a:solidFill>
                    </a:ln>
                  </pic:spPr>
                </pic:pic>
              </a:graphicData>
            </a:graphic>
          </wp:inline>
        </w:drawing>
      </w:r>
    </w:p>
    <w:p w14:paraId="04031033" w14:textId="77777777" w:rsidR="00A6231B" w:rsidRDefault="00A6231B" w:rsidP="005D12AB">
      <w:pPr>
        <w:pStyle w:val="ListNumber"/>
        <w:numPr>
          <w:ilvl w:val="0"/>
          <w:numId w:val="8"/>
        </w:numPr>
        <w:ind w:left="470" w:hanging="357"/>
      </w:pPr>
      <w:r w:rsidRPr="00922AEC">
        <w:t>From the “View outlet</w:t>
      </w:r>
      <w:r>
        <w:t>”</w:t>
      </w:r>
      <w:r w:rsidRPr="00922AEC">
        <w:t xml:space="preserve"> page click the “View service items” button.</w:t>
      </w:r>
    </w:p>
    <w:p w14:paraId="3962D1C3" w14:textId="160F7533" w:rsidR="00A6231B" w:rsidRPr="00F43310" w:rsidRDefault="009A7737" w:rsidP="00F43310">
      <w:r>
        <w:rPr>
          <w:noProof/>
        </w:rPr>
        <w:drawing>
          <wp:inline distT="0" distB="0" distL="0" distR="0" wp14:anchorId="6A0FD960" wp14:editId="7D132C63">
            <wp:extent cx="5400000" cy="1915200"/>
            <wp:effectExtent l="19050" t="19050" r="10795" b="27940"/>
            <wp:docPr id="12" name="Picture 12" descr="3. From the &quot;View outlet&quot; page click the &quot;View services items&quo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3. From the &quot;View outlet&quot; page click the &quot;View services items&quot; butto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00000" cy="1915200"/>
                    </a:xfrm>
                    <a:prstGeom prst="rect">
                      <a:avLst/>
                    </a:prstGeom>
                    <a:noFill/>
                    <a:ln w="9525">
                      <a:solidFill>
                        <a:schemeClr val="tx1"/>
                      </a:solidFill>
                    </a:ln>
                  </pic:spPr>
                </pic:pic>
              </a:graphicData>
            </a:graphic>
          </wp:inline>
        </w:drawing>
      </w:r>
    </w:p>
    <w:p w14:paraId="6B9B8D67" w14:textId="77777777" w:rsidR="004E752C" w:rsidRDefault="004E752C" w:rsidP="005D12AB">
      <w:pPr>
        <w:pStyle w:val="ListNumber"/>
        <w:numPr>
          <w:ilvl w:val="0"/>
          <w:numId w:val="8"/>
        </w:numPr>
        <w:ind w:left="470" w:hanging="357"/>
      </w:pPr>
      <w:r>
        <w:lastRenderedPageBreak/>
        <w:t>Select the ‘View Transfer Logs’ button at the top right of the screen.</w:t>
      </w:r>
    </w:p>
    <w:p w14:paraId="47144328" w14:textId="5B30C276" w:rsidR="004E752C" w:rsidRPr="00F43310" w:rsidRDefault="00171050" w:rsidP="00F43310">
      <w:r>
        <w:rPr>
          <w:noProof/>
          <w:lang w:eastAsia="en-AU"/>
        </w:rPr>
        <w:drawing>
          <wp:inline distT="0" distB="0" distL="0" distR="0" wp14:anchorId="78A0FD15" wp14:editId="04887C51">
            <wp:extent cx="5400000" cy="427488"/>
            <wp:effectExtent l="19050" t="19050" r="10795" b="10795"/>
            <wp:docPr id="14" name="Picture 14" descr="Select the 'View TRansfer Logs'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t="49213"/>
                    <a:stretch/>
                  </pic:blipFill>
                  <pic:spPr bwMode="auto">
                    <a:xfrm>
                      <a:off x="0" y="0"/>
                      <a:ext cx="5400000" cy="427488"/>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832D65F" w14:textId="77777777" w:rsidR="004E12E0" w:rsidRPr="00EB66A6" w:rsidRDefault="004E12E0" w:rsidP="00EB66A6">
      <w:r>
        <w:t>The transfer log will display information about past and current service and client transfers, including:</w:t>
      </w:r>
    </w:p>
    <w:p w14:paraId="1156CD29" w14:textId="77777777" w:rsidR="004E12E0" w:rsidRPr="00EB66A6" w:rsidRDefault="004E12E0" w:rsidP="00EB66A6">
      <w:pPr>
        <w:pStyle w:val="ListBullet"/>
      </w:pPr>
      <w:r w:rsidRPr="00EB66A6">
        <w:t>Transfer type (service or person)</w:t>
      </w:r>
    </w:p>
    <w:p w14:paraId="4A095EC8" w14:textId="77777777" w:rsidR="004E12E0" w:rsidRPr="00EB66A6" w:rsidRDefault="004E12E0" w:rsidP="00EB66A6">
      <w:pPr>
        <w:pStyle w:val="ListBullet"/>
      </w:pPr>
      <w:r w:rsidRPr="00EB66A6">
        <w:t>Transfer date</w:t>
      </w:r>
    </w:p>
    <w:p w14:paraId="64860408" w14:textId="77777777" w:rsidR="004E12E0" w:rsidRPr="00EB66A6" w:rsidRDefault="004E12E0" w:rsidP="00EB66A6">
      <w:pPr>
        <w:pStyle w:val="ListBullet"/>
      </w:pPr>
      <w:r w:rsidRPr="00EB66A6">
        <w:t>Status (In progress, completed, completed with errors)</w:t>
      </w:r>
    </w:p>
    <w:p w14:paraId="04559DE5" w14:textId="77777777" w:rsidR="004E12E0" w:rsidRDefault="004E12E0" w:rsidP="0040141B">
      <w:r>
        <w:t>For more detailed information about the transfer, click the magnifying glass icon.</w:t>
      </w:r>
    </w:p>
    <w:p w14:paraId="0505524C" w14:textId="662A1A0D" w:rsidR="004E12E0" w:rsidRPr="00F43310" w:rsidRDefault="00E26453" w:rsidP="00F43310">
      <w:r>
        <w:rPr>
          <w:noProof/>
          <w:lang w:eastAsia="en-AU"/>
        </w:rPr>
        <w:drawing>
          <wp:inline distT="0" distB="0" distL="0" distR="0" wp14:anchorId="78365DF4" wp14:editId="353E4C86">
            <wp:extent cx="5400000" cy="1035530"/>
            <wp:effectExtent l="19050" t="19050" r="10795" b="12700"/>
            <wp:docPr id="30" name="Picture 30" descr="Transfer lo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400000" cy="1035530"/>
                    </a:xfrm>
                    <a:prstGeom prst="rect">
                      <a:avLst/>
                    </a:prstGeom>
                    <a:noFill/>
                    <a:ln>
                      <a:solidFill>
                        <a:schemeClr val="tx1"/>
                      </a:solidFill>
                    </a:ln>
                  </pic:spPr>
                </pic:pic>
              </a:graphicData>
            </a:graphic>
          </wp:inline>
        </w:drawing>
      </w:r>
    </w:p>
    <w:p w14:paraId="71BF9183" w14:textId="77777777" w:rsidR="00AE7FDF" w:rsidRDefault="00AE7FDF" w:rsidP="0040141B">
      <w:r>
        <w:t>If a transfer has not been completed successfully, you can retry by clicking the magnifying glass icon, selecting the items you want to retry and clicking the ‘Retry Selected’ button.</w:t>
      </w:r>
    </w:p>
    <w:p w14:paraId="17CA4EA7" w14:textId="47380F8B" w:rsidR="00F82419" w:rsidRPr="00F43310" w:rsidRDefault="00F82419" w:rsidP="00F43310">
      <w:r>
        <w:rPr>
          <w:noProof/>
          <w:lang w:eastAsia="en-AU"/>
        </w:rPr>
        <w:drawing>
          <wp:inline distT="0" distB="0" distL="0" distR="0" wp14:anchorId="4CB92E26" wp14:editId="772C3BCC">
            <wp:extent cx="5400000" cy="1436400"/>
            <wp:effectExtent l="19050" t="19050" r="10795" b="11430"/>
            <wp:docPr id="29" name="Picture 29" descr="Transfer lo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400000" cy="1436400"/>
                    </a:xfrm>
                    <a:prstGeom prst="rect">
                      <a:avLst/>
                    </a:prstGeom>
                    <a:noFill/>
                    <a:ln>
                      <a:solidFill>
                        <a:schemeClr val="tx1"/>
                      </a:solidFill>
                    </a:ln>
                  </pic:spPr>
                </pic:pic>
              </a:graphicData>
            </a:graphic>
          </wp:inline>
        </w:drawing>
      </w:r>
    </w:p>
    <w:p w14:paraId="00A0A699" w14:textId="16A1F34D" w:rsidR="004522C1" w:rsidRDefault="0040141B" w:rsidP="0040141B">
      <w:pPr>
        <w:pStyle w:val="Heading2"/>
        <w:spacing w:line="259" w:lineRule="auto"/>
        <w:rPr>
          <w:sz w:val="28"/>
          <w:szCs w:val="28"/>
        </w:rPr>
      </w:pPr>
      <w:bookmarkStart w:id="8" w:name="_Toc158732166"/>
      <w:r>
        <w:rPr>
          <w:sz w:val="28"/>
          <w:szCs w:val="28"/>
        </w:rPr>
        <w:t>For more information or suppor</w:t>
      </w:r>
      <w:r w:rsidR="00CC4231">
        <w:rPr>
          <w:sz w:val="28"/>
          <w:szCs w:val="28"/>
        </w:rPr>
        <w:t>t</w:t>
      </w:r>
      <w:bookmarkEnd w:id="8"/>
    </w:p>
    <w:p w14:paraId="312CD3D0" w14:textId="0500F800" w:rsidR="0040141B" w:rsidRDefault="0040141B" w:rsidP="0040141B">
      <w:pPr>
        <w:rPr>
          <w:rFonts w:eastAsia="Calibri"/>
        </w:rPr>
      </w:pPr>
      <w:r w:rsidRPr="00006FEF">
        <w:rPr>
          <w:rFonts w:eastAsia="Calibri"/>
        </w:rPr>
        <w:t xml:space="preserve">Further information is available </w:t>
      </w:r>
      <w:r>
        <w:rPr>
          <w:rFonts w:eastAsia="Calibri"/>
        </w:rPr>
        <w:t>in</w:t>
      </w:r>
      <w:r w:rsidRPr="00006FEF">
        <w:rPr>
          <w:rFonts w:eastAsia="Calibri"/>
        </w:rPr>
        <w:t xml:space="preserve"> the </w:t>
      </w:r>
      <w:r w:rsidRPr="00EB66A6">
        <w:rPr>
          <w:rFonts w:eastAsia="Calibri"/>
        </w:rPr>
        <w:t xml:space="preserve">My Aged Care </w:t>
      </w:r>
      <w:r w:rsidR="0039616B" w:rsidRPr="00EB66A6">
        <w:rPr>
          <w:rFonts w:eastAsia="Calibri"/>
        </w:rPr>
        <w:t xml:space="preserve">- </w:t>
      </w:r>
      <w:r w:rsidRPr="00EB66A6">
        <w:rPr>
          <w:rFonts w:eastAsia="Calibri"/>
        </w:rPr>
        <w:t xml:space="preserve">Service and Support Portal Resources </w:t>
      </w:r>
      <w:r>
        <w:rPr>
          <w:rFonts w:eastAsia="Calibri"/>
        </w:rPr>
        <w:t xml:space="preserve">available on the department’s </w:t>
      </w:r>
      <w:hyperlink r:id="rId42" w:history="1">
        <w:r w:rsidRPr="007D41FD">
          <w:rPr>
            <w:rStyle w:val="Hyperlink"/>
            <w:rFonts w:eastAsia="Calibri"/>
          </w:rPr>
          <w:t>website</w:t>
        </w:r>
      </w:hyperlink>
      <w:r w:rsidR="00EB66A6">
        <w:rPr>
          <w:rFonts w:eastAsia="Calibri"/>
        </w:rPr>
        <w:t>.</w:t>
      </w:r>
    </w:p>
    <w:p w14:paraId="4EB314EF" w14:textId="6CA3BD85" w:rsidR="00C03B77" w:rsidRPr="00F43310" w:rsidRDefault="0040141B" w:rsidP="004522C1">
      <w:pPr>
        <w:rPr>
          <w:rFonts w:eastAsia="Calibri"/>
        </w:rPr>
      </w:pPr>
      <w:r w:rsidRPr="00006FEF">
        <w:rPr>
          <w:rFonts w:eastAsia="Calibri"/>
        </w:rPr>
        <w:t xml:space="preserve">The My Aged Care </w:t>
      </w:r>
      <w:r>
        <w:rPr>
          <w:rFonts w:eastAsia="Calibri"/>
        </w:rPr>
        <w:t>S</w:t>
      </w:r>
      <w:r w:rsidRPr="00006FEF">
        <w:rPr>
          <w:rFonts w:eastAsia="Calibri"/>
        </w:rPr>
        <w:t xml:space="preserve">ervice </w:t>
      </w:r>
      <w:r>
        <w:rPr>
          <w:rFonts w:eastAsia="Calibri"/>
        </w:rPr>
        <w:t>P</w:t>
      </w:r>
      <w:r w:rsidRPr="00006FEF">
        <w:rPr>
          <w:rFonts w:eastAsia="Calibri"/>
        </w:rPr>
        <w:t xml:space="preserve">rovider and </w:t>
      </w:r>
      <w:r>
        <w:rPr>
          <w:rFonts w:eastAsia="Calibri"/>
        </w:rPr>
        <w:t>A</w:t>
      </w:r>
      <w:r w:rsidRPr="00006FEF">
        <w:rPr>
          <w:rFonts w:eastAsia="Calibri"/>
        </w:rPr>
        <w:t xml:space="preserve">ssessor helpline is available </w:t>
      </w:r>
      <w:r>
        <w:rPr>
          <w:rFonts w:eastAsia="Calibri"/>
        </w:rPr>
        <w:t>on</w:t>
      </w:r>
      <w:r w:rsidRPr="00006FEF">
        <w:rPr>
          <w:rFonts w:eastAsia="Calibri"/>
        </w:rPr>
        <w:t xml:space="preserve"> 1800</w:t>
      </w:r>
      <w:r>
        <w:rPr>
          <w:rFonts w:eastAsia="Calibri"/>
        </w:rPr>
        <w:t> </w:t>
      </w:r>
      <w:r w:rsidRPr="00006FEF">
        <w:rPr>
          <w:rFonts w:eastAsia="Calibri"/>
        </w:rPr>
        <w:t>836</w:t>
      </w:r>
      <w:r>
        <w:rPr>
          <w:rFonts w:eastAsia="Calibri"/>
        </w:rPr>
        <w:t> </w:t>
      </w:r>
      <w:r w:rsidRPr="00006FEF">
        <w:rPr>
          <w:rFonts w:eastAsia="Calibri"/>
        </w:rPr>
        <w:t>799</w:t>
      </w:r>
      <w:r w:rsidRPr="00F43310">
        <w:rPr>
          <w:rFonts w:eastAsia="Calibri"/>
        </w:rPr>
        <w:t>.</w:t>
      </w:r>
    </w:p>
    <w:sectPr w:rsidR="00C03B77" w:rsidRPr="00F43310" w:rsidSect="00F43310">
      <w:headerReference w:type="default" r:id="rId43"/>
      <w:footerReference w:type="default" r:id="rId44"/>
      <w:headerReference w:type="first" r:id="rId45"/>
      <w:footerReference w:type="first" r:id="rId46"/>
      <w:pgSz w:w="11900" w:h="16840"/>
      <w:pgMar w:top="1418" w:right="1418" w:bottom="1418" w:left="1418"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800CD" w14:textId="77777777" w:rsidR="00A978B1" w:rsidRDefault="00A978B1" w:rsidP="00F15E50">
      <w:pPr>
        <w:spacing w:before="0" w:line="240" w:lineRule="auto"/>
      </w:pPr>
      <w:r>
        <w:separator/>
      </w:r>
    </w:p>
  </w:endnote>
  <w:endnote w:type="continuationSeparator" w:id="0">
    <w:p w14:paraId="4C43DDF7" w14:textId="77777777" w:rsidR="00A978B1" w:rsidRDefault="00A978B1" w:rsidP="00F15E50">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FF" w:usb1="C0007841"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D5695" w14:textId="25CFA238" w:rsidR="00860F2D" w:rsidRPr="00860F2D" w:rsidRDefault="00860F2D" w:rsidP="00860F2D">
    <w:pPr>
      <w:pStyle w:val="Footer"/>
      <w:tabs>
        <w:tab w:val="clear" w:pos="4513"/>
        <w:tab w:val="left" w:pos="8505"/>
      </w:tabs>
      <w:rPr>
        <w:color w:val="FFFFFF" w:themeColor="background1"/>
      </w:rPr>
    </w:pPr>
    <w:r w:rsidRPr="0073453D">
      <w:rPr>
        <w:color w:val="FFFFFF" w:themeColor="background1"/>
        <w:sz w:val="20"/>
        <w:szCs w:val="20"/>
      </w:rPr>
      <w:t xml:space="preserve">For further information, go to My Aged Care | </w:t>
    </w:r>
    <w:hyperlink r:id="rId1" w:history="1">
      <w:r w:rsidRPr="0073453D">
        <w:rPr>
          <w:rStyle w:val="Hyperlink"/>
          <w:color w:val="FFFFFF" w:themeColor="background1"/>
          <w:sz w:val="20"/>
          <w:szCs w:val="20"/>
          <w:u w:val="none"/>
        </w:rPr>
        <w:t>www.myagedcare.gov.au</w:t>
      </w:r>
    </w:hyperlink>
    <w:r w:rsidRPr="0073453D">
      <w:rPr>
        <w:color w:val="FFFFFF" w:themeColor="background1"/>
        <w:sz w:val="20"/>
        <w:szCs w:val="20"/>
      </w:rPr>
      <w:t xml:space="preserve"> | 1800 </w:t>
    </w:r>
    <w:r w:rsidR="00EA6A87">
      <w:rPr>
        <w:color w:val="FFFFFF" w:themeColor="background1"/>
        <w:sz w:val="20"/>
        <w:szCs w:val="20"/>
      </w:rPr>
      <w:t>836 799</w:t>
    </w:r>
    <w:r w:rsidRPr="0073453D">
      <w:rPr>
        <w:color w:val="FFFFFF" w:themeColor="background1"/>
        <w:sz w:val="20"/>
        <w:szCs w:val="20"/>
      </w:rPr>
      <w:tab/>
    </w:r>
    <w:r w:rsidR="00F30F32">
      <w:rPr>
        <w:color w:val="FFFFFF" w:themeColor="background1"/>
        <w:sz w:val="20"/>
        <w:szCs w:val="20"/>
      </w:rPr>
      <w:t xml:space="preserve">    </w:t>
    </w:r>
    <w:r w:rsidR="00F30F32" w:rsidRPr="0073453D">
      <w:rPr>
        <w:color w:val="FFFFFF" w:themeColor="background1"/>
        <w:sz w:val="20"/>
        <w:szCs w:val="20"/>
      </w:rPr>
      <w:t xml:space="preserve"> </w:t>
    </w:r>
    <w:r w:rsidR="00F30F32" w:rsidRPr="0073453D">
      <w:rPr>
        <w:color w:val="FFFFFF" w:themeColor="background1"/>
        <w:sz w:val="20"/>
        <w:szCs w:val="20"/>
      </w:rPr>
      <w:fldChar w:fldCharType="begin"/>
    </w:r>
    <w:r w:rsidR="00F30F32" w:rsidRPr="0073453D">
      <w:rPr>
        <w:color w:val="FFFFFF" w:themeColor="background1"/>
        <w:sz w:val="20"/>
        <w:szCs w:val="20"/>
      </w:rPr>
      <w:instrText xml:space="preserve"> PAGE  \* Arabic </w:instrText>
    </w:r>
    <w:r w:rsidR="00F30F32" w:rsidRPr="0073453D">
      <w:rPr>
        <w:color w:val="FFFFFF" w:themeColor="background1"/>
        <w:sz w:val="20"/>
        <w:szCs w:val="20"/>
      </w:rPr>
      <w:fldChar w:fldCharType="separate"/>
    </w:r>
    <w:r w:rsidR="00F30F32">
      <w:rPr>
        <w:noProof/>
        <w:color w:val="FFFFFF" w:themeColor="background1"/>
        <w:sz w:val="20"/>
        <w:szCs w:val="20"/>
      </w:rPr>
      <w:t>2</w:t>
    </w:r>
    <w:r w:rsidR="00F30F32" w:rsidRPr="0073453D">
      <w:rPr>
        <w:color w:val="FFFFFF" w:themeColor="background1"/>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80ECC" w14:textId="0C1FF9C1" w:rsidR="00860F2D" w:rsidRPr="00860F2D" w:rsidRDefault="00860F2D" w:rsidP="00220628">
    <w:pPr>
      <w:pStyle w:val="Footer"/>
      <w:tabs>
        <w:tab w:val="clear" w:pos="4513"/>
        <w:tab w:val="clear" w:pos="9026"/>
        <w:tab w:val="left" w:pos="8505"/>
        <w:tab w:val="right" w:pos="9064"/>
      </w:tabs>
      <w:spacing w:before="240"/>
      <w:rPr>
        <w:color w:val="FFFFFF" w:themeColor="background1"/>
      </w:rPr>
    </w:pPr>
    <w:r w:rsidRPr="0073453D">
      <w:rPr>
        <w:color w:val="FFFFFF" w:themeColor="background1"/>
        <w:sz w:val="20"/>
        <w:szCs w:val="20"/>
      </w:rPr>
      <w:t xml:space="preserve">For further information, go to My Aged Care </w:t>
    </w:r>
    <w:r w:rsidR="00352F69">
      <w:rPr>
        <w:color w:val="FFFFFF" w:themeColor="background1"/>
        <w:sz w:val="20"/>
        <w:szCs w:val="20"/>
      </w:rPr>
      <w:t xml:space="preserve"> </w:t>
    </w:r>
    <w:r w:rsidRPr="0073453D">
      <w:rPr>
        <w:color w:val="FFFFFF" w:themeColor="background1"/>
        <w:sz w:val="20"/>
        <w:szCs w:val="20"/>
      </w:rPr>
      <w:t xml:space="preserve">| </w:t>
    </w:r>
    <w:r w:rsidR="00352F69">
      <w:rPr>
        <w:color w:val="FFFFFF" w:themeColor="background1"/>
        <w:sz w:val="20"/>
        <w:szCs w:val="20"/>
      </w:rPr>
      <w:t xml:space="preserve"> </w:t>
    </w:r>
    <w:r w:rsidR="00352F69" w:rsidRPr="00352F69">
      <w:rPr>
        <w:color w:val="FFFFFF" w:themeColor="background1"/>
        <w:sz w:val="20"/>
        <w:szCs w:val="20"/>
      </w:rPr>
      <w:t>www.myagedcare.gov.au</w:t>
    </w:r>
    <w:r w:rsidR="00477442" w:rsidRPr="00352F69">
      <w:rPr>
        <w:color w:val="FFFFFF" w:themeColor="background1"/>
        <w:sz w:val="20"/>
        <w:szCs w:val="20"/>
      </w:rPr>
      <w:t xml:space="preserve"> </w:t>
    </w:r>
    <w:r w:rsidR="00352F69" w:rsidRPr="00352F69">
      <w:rPr>
        <w:color w:val="FFFFFF" w:themeColor="background1"/>
        <w:sz w:val="20"/>
        <w:szCs w:val="20"/>
      </w:rPr>
      <w:t xml:space="preserve"> </w:t>
    </w:r>
    <w:r w:rsidR="00477442">
      <w:rPr>
        <w:color w:val="FFFFFF" w:themeColor="background1"/>
        <w:sz w:val="20"/>
        <w:szCs w:val="20"/>
      </w:rPr>
      <w:t>|</w:t>
    </w:r>
    <w:r w:rsidR="00352F69">
      <w:rPr>
        <w:color w:val="FFFFFF" w:themeColor="background1"/>
        <w:sz w:val="20"/>
        <w:szCs w:val="20"/>
      </w:rPr>
      <w:t xml:space="preserve"> </w:t>
    </w:r>
    <w:r w:rsidR="00477442">
      <w:rPr>
        <w:color w:val="FFFFFF" w:themeColor="background1"/>
        <w:sz w:val="20"/>
        <w:szCs w:val="20"/>
      </w:rPr>
      <w:t xml:space="preserve"> 1800 </w:t>
    </w:r>
    <w:r w:rsidR="00352F69">
      <w:rPr>
        <w:color w:val="FFFFFF" w:themeColor="background1"/>
        <w:sz w:val="20"/>
        <w:szCs w:val="20"/>
      </w:rPr>
      <w:t>836 799</w:t>
    </w:r>
    <w:r w:rsidR="00477442">
      <w:rPr>
        <w:color w:val="FFFFFF" w:themeColor="background1"/>
        <w:sz w:val="20"/>
        <w:szCs w:val="20"/>
      </w:rPr>
      <w:tab/>
    </w:r>
    <w:r w:rsidR="00220628">
      <w:rPr>
        <w:color w:val="FFFFFF" w:themeColor="background1"/>
        <w:sz w:val="20"/>
        <w:szCs w:val="20"/>
      </w:rPr>
      <w:t xml:space="preserve">        </w:t>
    </w:r>
    <w:r w:rsidRPr="0073453D">
      <w:rPr>
        <w:color w:val="FFFFFF" w:themeColor="background1"/>
        <w:sz w:val="20"/>
        <w:szCs w:val="20"/>
      </w:rPr>
      <w:fldChar w:fldCharType="begin"/>
    </w:r>
    <w:r w:rsidRPr="0073453D">
      <w:rPr>
        <w:color w:val="FFFFFF" w:themeColor="background1"/>
        <w:sz w:val="20"/>
        <w:szCs w:val="20"/>
      </w:rPr>
      <w:instrText xml:space="preserve"> PAGE  \* Arabic </w:instrText>
    </w:r>
    <w:r w:rsidRPr="0073453D">
      <w:rPr>
        <w:color w:val="FFFFFF" w:themeColor="background1"/>
        <w:sz w:val="20"/>
        <w:szCs w:val="20"/>
      </w:rPr>
      <w:fldChar w:fldCharType="separate"/>
    </w:r>
    <w:r w:rsidR="00F30F32">
      <w:rPr>
        <w:noProof/>
        <w:color w:val="FFFFFF" w:themeColor="background1"/>
        <w:sz w:val="20"/>
        <w:szCs w:val="20"/>
      </w:rPr>
      <w:t>1</w:t>
    </w:r>
    <w:r w:rsidRPr="0073453D">
      <w:rPr>
        <w:color w:val="FFFFFF" w:themeColor="background1"/>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4F495" w14:textId="77777777" w:rsidR="00A978B1" w:rsidRDefault="00A978B1" w:rsidP="00F15E50">
      <w:pPr>
        <w:spacing w:before="0" w:line="240" w:lineRule="auto"/>
      </w:pPr>
      <w:r>
        <w:separator/>
      </w:r>
    </w:p>
  </w:footnote>
  <w:footnote w:type="continuationSeparator" w:id="0">
    <w:p w14:paraId="75C46E58" w14:textId="77777777" w:rsidR="00A978B1" w:rsidRDefault="00A978B1" w:rsidP="00F15E50">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7D76E" w14:textId="77777777" w:rsidR="007E5B2E" w:rsidRDefault="007E5B2E">
    <w:pPr>
      <w:pStyle w:val="Header"/>
    </w:pPr>
    <w:r>
      <w:rPr>
        <w:noProof/>
        <w:lang w:eastAsia="en-AU"/>
      </w:rPr>
      <w:drawing>
        <wp:anchor distT="0" distB="0" distL="114300" distR="114300" simplePos="0" relativeHeight="251667456" behindDoc="1" locked="0" layoutInCell="1" allowOverlap="1" wp14:anchorId="5EE03827" wp14:editId="03F69D33">
          <wp:simplePos x="0" y="0"/>
          <wp:positionH relativeFrom="page">
            <wp:posOffset>0</wp:posOffset>
          </wp:positionH>
          <wp:positionV relativeFrom="page">
            <wp:posOffset>10781665</wp:posOffset>
          </wp:positionV>
          <wp:extent cx="7573645" cy="10713085"/>
          <wp:effectExtent l="0" t="0" r="8255" b="0"/>
          <wp:wrapNone/>
          <wp:docPr id="17"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73645" cy="107130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1663360" behindDoc="1" locked="0" layoutInCell="1" allowOverlap="1" wp14:anchorId="0956D87F" wp14:editId="26F96FEA">
          <wp:simplePos x="0" y="0"/>
          <wp:positionH relativeFrom="page">
            <wp:align>left</wp:align>
          </wp:positionH>
          <wp:positionV relativeFrom="page">
            <wp:align>top</wp:align>
          </wp:positionV>
          <wp:extent cx="7574400" cy="10713600"/>
          <wp:effectExtent l="0" t="0" r="7620" b="0"/>
          <wp:wrapNone/>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Picture 19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74400" cy="10713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68618" w14:textId="659AB88F" w:rsidR="007E5B2E" w:rsidRDefault="00860F2D" w:rsidP="007E5B2E">
    <w:pPr>
      <w:pStyle w:val="Header"/>
      <w:tabs>
        <w:tab w:val="clear" w:pos="4513"/>
        <w:tab w:val="clear" w:pos="9026"/>
        <w:tab w:val="left" w:pos="5932"/>
      </w:tabs>
    </w:pPr>
    <w:r>
      <w:rPr>
        <w:noProof/>
        <w:lang w:eastAsia="en-AU"/>
      </w:rPr>
      <w:drawing>
        <wp:anchor distT="0" distB="0" distL="114300" distR="114300" simplePos="0" relativeHeight="251668480" behindDoc="1" locked="0" layoutInCell="1" allowOverlap="1" wp14:anchorId="6254D354" wp14:editId="4A473B4D">
          <wp:simplePos x="0" y="0"/>
          <wp:positionH relativeFrom="page">
            <wp:align>left</wp:align>
          </wp:positionH>
          <wp:positionV relativeFrom="page">
            <wp:align>top</wp:align>
          </wp:positionV>
          <wp:extent cx="7574400" cy="10713600"/>
          <wp:effectExtent l="0" t="0" r="7620" b="0"/>
          <wp:wrapNone/>
          <wp:docPr id="19" name="Picture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Picture 19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74400" cy="10713600"/>
                  </a:xfrm>
                  <a:prstGeom prst="rect">
                    <a:avLst/>
                  </a:prstGeom>
                </pic:spPr>
              </pic:pic>
            </a:graphicData>
          </a:graphic>
          <wp14:sizeRelH relativeFrom="margin">
            <wp14:pctWidth>0</wp14:pctWidth>
          </wp14:sizeRelH>
          <wp14:sizeRelV relativeFrom="margin">
            <wp14:pctHeight>0</wp14:pctHeight>
          </wp14:sizeRelV>
        </wp:anchor>
      </w:drawing>
    </w:r>
    <w:r w:rsidR="007E5B2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76794"/>
    <w:multiLevelType w:val="hybridMultilevel"/>
    <w:tmpl w:val="48928EB0"/>
    <w:lvl w:ilvl="0" w:tplc="8CB0A066">
      <w:start w:val="1"/>
      <w:numFmt w:val="decimal"/>
      <w:pStyle w:val="ListNumber"/>
      <w:lvlText w:val="%1."/>
      <w:lvlJc w:val="left"/>
      <w:pPr>
        <w:ind w:left="720" w:hanging="360"/>
      </w:pPr>
      <w:rPr>
        <w:rFonts w:hint="default"/>
        <w:b/>
        <w:i w:val="0"/>
        <w:color w:val="4472C4" w:themeColor="accent1"/>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0746F5F"/>
    <w:multiLevelType w:val="hybridMultilevel"/>
    <w:tmpl w:val="80665372"/>
    <w:lvl w:ilvl="0" w:tplc="604A5E28">
      <w:start w:val="1"/>
      <w:numFmt w:val="bullet"/>
      <w:pStyle w:val="ListBullet"/>
      <w:lvlText w:val=""/>
      <w:lvlJc w:val="left"/>
      <w:pPr>
        <w:ind w:left="720" w:hanging="360"/>
      </w:pPr>
      <w:rPr>
        <w:rFonts w:ascii="Symbol" w:hAnsi="Symbol" w:hint="default"/>
        <w:color w:val="4472C4"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F16023B"/>
    <w:multiLevelType w:val="hybridMultilevel"/>
    <w:tmpl w:val="A2562C8E"/>
    <w:lvl w:ilvl="0" w:tplc="4A4815E6">
      <w:start w:val="1"/>
      <w:numFmt w:val="bullet"/>
      <w:pStyle w:val="Introparagraphlistbullet"/>
      <w:lvlText w:val=""/>
      <w:lvlJc w:val="left"/>
      <w:pPr>
        <w:ind w:left="720" w:hanging="360"/>
      </w:pPr>
      <w:rPr>
        <w:rFonts w:ascii="Symbol" w:hAnsi="Symbol" w:hint="default"/>
        <w:color w:val="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23870AA"/>
    <w:multiLevelType w:val="hybridMultilevel"/>
    <w:tmpl w:val="ABA8FC8E"/>
    <w:lvl w:ilvl="0" w:tplc="6E00798E">
      <w:start w:val="1"/>
      <w:numFmt w:val="bullet"/>
      <w:pStyle w:val="IntenseQuote"/>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5155894"/>
    <w:multiLevelType w:val="hybridMultilevel"/>
    <w:tmpl w:val="C3681592"/>
    <w:lvl w:ilvl="0" w:tplc="5148BBEA">
      <w:start w:val="1"/>
      <w:numFmt w:val="decimal"/>
      <w:lvlText w:val="%1."/>
      <w:lvlJc w:val="left"/>
      <w:pPr>
        <w:ind w:left="720" w:hanging="360"/>
      </w:pPr>
      <w:rPr>
        <w:rFonts w:hint="default"/>
        <w:b/>
        <w:i w:val="0"/>
        <w:color w:val="4472C4" w:themeColor="accent1"/>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3C34827"/>
    <w:multiLevelType w:val="hybridMultilevel"/>
    <w:tmpl w:val="CF66F0B2"/>
    <w:lvl w:ilvl="0" w:tplc="E0DABF2E">
      <w:start w:val="1"/>
      <w:numFmt w:val="bullet"/>
      <w:pStyle w:val="Policystylebullet"/>
      <w:lvlText w:val=""/>
      <w:lvlJc w:val="left"/>
      <w:pPr>
        <w:ind w:left="587"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20115602">
    <w:abstractNumId w:val="5"/>
  </w:num>
  <w:num w:numId="2" w16cid:durableId="1284119891">
    <w:abstractNumId w:val="3"/>
  </w:num>
  <w:num w:numId="3" w16cid:durableId="1890721031">
    <w:abstractNumId w:val="2"/>
  </w:num>
  <w:num w:numId="4" w16cid:durableId="628975777">
    <w:abstractNumId w:val="1"/>
  </w:num>
  <w:num w:numId="5" w16cid:durableId="680086912">
    <w:abstractNumId w:val="4"/>
    <w:lvlOverride w:ilvl="0">
      <w:startOverride w:val="1"/>
    </w:lvlOverride>
  </w:num>
  <w:num w:numId="6" w16cid:durableId="1657220987">
    <w:abstractNumId w:val="0"/>
  </w:num>
  <w:num w:numId="7" w16cid:durableId="872158166">
    <w:abstractNumId w:val="0"/>
    <w:lvlOverride w:ilvl="0">
      <w:startOverride w:val="1"/>
    </w:lvlOverride>
  </w:num>
  <w:num w:numId="8" w16cid:durableId="2112243456">
    <w:abstractNumId w:val="0"/>
    <w:lvlOverride w:ilvl="0">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56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81B"/>
    <w:rsid w:val="00057707"/>
    <w:rsid w:val="00063110"/>
    <w:rsid w:val="000646CE"/>
    <w:rsid w:val="0008333A"/>
    <w:rsid w:val="0009473B"/>
    <w:rsid w:val="0009562A"/>
    <w:rsid w:val="000C7C99"/>
    <w:rsid w:val="000E5297"/>
    <w:rsid w:val="000F714E"/>
    <w:rsid w:val="0010427F"/>
    <w:rsid w:val="00106B02"/>
    <w:rsid w:val="00110198"/>
    <w:rsid w:val="001108B0"/>
    <w:rsid w:val="001229F6"/>
    <w:rsid w:val="001311C8"/>
    <w:rsid w:val="00137FCC"/>
    <w:rsid w:val="00140F61"/>
    <w:rsid w:val="00153203"/>
    <w:rsid w:val="001611D8"/>
    <w:rsid w:val="00171050"/>
    <w:rsid w:val="00171A29"/>
    <w:rsid w:val="00173A6E"/>
    <w:rsid w:val="0019009B"/>
    <w:rsid w:val="001912B2"/>
    <w:rsid w:val="001C03D1"/>
    <w:rsid w:val="001D3B66"/>
    <w:rsid w:val="001D59AD"/>
    <w:rsid w:val="001F15DE"/>
    <w:rsid w:val="00220628"/>
    <w:rsid w:val="002237CD"/>
    <w:rsid w:val="00234304"/>
    <w:rsid w:val="0024542B"/>
    <w:rsid w:val="002733B8"/>
    <w:rsid w:val="00280458"/>
    <w:rsid w:val="0028138A"/>
    <w:rsid w:val="00287ACD"/>
    <w:rsid w:val="002963FF"/>
    <w:rsid w:val="00296507"/>
    <w:rsid w:val="002A1C58"/>
    <w:rsid w:val="002A3A45"/>
    <w:rsid w:val="002A4FAB"/>
    <w:rsid w:val="002A71B0"/>
    <w:rsid w:val="002B2143"/>
    <w:rsid w:val="002D1F43"/>
    <w:rsid w:val="002E28C3"/>
    <w:rsid w:val="002E5EA1"/>
    <w:rsid w:val="002F2D4D"/>
    <w:rsid w:val="003115AC"/>
    <w:rsid w:val="00312DDD"/>
    <w:rsid w:val="00326CE3"/>
    <w:rsid w:val="0033298B"/>
    <w:rsid w:val="0033600D"/>
    <w:rsid w:val="00340D8E"/>
    <w:rsid w:val="00352F69"/>
    <w:rsid w:val="003570D0"/>
    <w:rsid w:val="003571BE"/>
    <w:rsid w:val="003751E9"/>
    <w:rsid w:val="0039616B"/>
    <w:rsid w:val="003D0FD3"/>
    <w:rsid w:val="003F4AF0"/>
    <w:rsid w:val="0040141B"/>
    <w:rsid w:val="0041384D"/>
    <w:rsid w:val="004158D8"/>
    <w:rsid w:val="00441C2B"/>
    <w:rsid w:val="004522C1"/>
    <w:rsid w:val="00461E3E"/>
    <w:rsid w:val="00474D71"/>
    <w:rsid w:val="004758A2"/>
    <w:rsid w:val="00477442"/>
    <w:rsid w:val="00480CD9"/>
    <w:rsid w:val="0048373F"/>
    <w:rsid w:val="00487A9E"/>
    <w:rsid w:val="00490588"/>
    <w:rsid w:val="004A55CC"/>
    <w:rsid w:val="004B402B"/>
    <w:rsid w:val="004E12E0"/>
    <w:rsid w:val="004E4208"/>
    <w:rsid w:val="004E752C"/>
    <w:rsid w:val="004F7B29"/>
    <w:rsid w:val="0050046A"/>
    <w:rsid w:val="00501938"/>
    <w:rsid w:val="005048F5"/>
    <w:rsid w:val="0050529D"/>
    <w:rsid w:val="005141E0"/>
    <w:rsid w:val="005305AD"/>
    <w:rsid w:val="00557B05"/>
    <w:rsid w:val="0056770A"/>
    <w:rsid w:val="00581287"/>
    <w:rsid w:val="00597988"/>
    <w:rsid w:val="005D12AB"/>
    <w:rsid w:val="005E6A99"/>
    <w:rsid w:val="00610197"/>
    <w:rsid w:val="00616171"/>
    <w:rsid w:val="00617A41"/>
    <w:rsid w:val="00625BFA"/>
    <w:rsid w:val="00643318"/>
    <w:rsid w:val="006440C5"/>
    <w:rsid w:val="00655AE3"/>
    <w:rsid w:val="0067063F"/>
    <w:rsid w:val="006743DA"/>
    <w:rsid w:val="006A3BFD"/>
    <w:rsid w:val="006B352B"/>
    <w:rsid w:val="006C70E7"/>
    <w:rsid w:val="006D1A93"/>
    <w:rsid w:val="006D241E"/>
    <w:rsid w:val="006E4E6D"/>
    <w:rsid w:val="006F1FCB"/>
    <w:rsid w:val="0070280D"/>
    <w:rsid w:val="007041CF"/>
    <w:rsid w:val="00710FA3"/>
    <w:rsid w:val="00727E3B"/>
    <w:rsid w:val="00730EF1"/>
    <w:rsid w:val="0073453D"/>
    <w:rsid w:val="00741235"/>
    <w:rsid w:val="0075034E"/>
    <w:rsid w:val="007704CB"/>
    <w:rsid w:val="007A48AC"/>
    <w:rsid w:val="007A5526"/>
    <w:rsid w:val="007B5731"/>
    <w:rsid w:val="007C2DB4"/>
    <w:rsid w:val="007C5B56"/>
    <w:rsid w:val="007D6EDD"/>
    <w:rsid w:val="007E5B2E"/>
    <w:rsid w:val="007F136F"/>
    <w:rsid w:val="008074D9"/>
    <w:rsid w:val="008261B0"/>
    <w:rsid w:val="00830113"/>
    <w:rsid w:val="00832920"/>
    <w:rsid w:val="008361BB"/>
    <w:rsid w:val="00843974"/>
    <w:rsid w:val="00850923"/>
    <w:rsid w:val="00853954"/>
    <w:rsid w:val="008603CF"/>
    <w:rsid w:val="00860F2D"/>
    <w:rsid w:val="00882168"/>
    <w:rsid w:val="008E5490"/>
    <w:rsid w:val="00936032"/>
    <w:rsid w:val="0094077E"/>
    <w:rsid w:val="00952FE7"/>
    <w:rsid w:val="0095327E"/>
    <w:rsid w:val="009823BB"/>
    <w:rsid w:val="00991D51"/>
    <w:rsid w:val="009A32D6"/>
    <w:rsid w:val="009A7737"/>
    <w:rsid w:val="009D7A4C"/>
    <w:rsid w:val="009F57F5"/>
    <w:rsid w:val="00A11E8C"/>
    <w:rsid w:val="00A41839"/>
    <w:rsid w:val="00A6231B"/>
    <w:rsid w:val="00A85C1E"/>
    <w:rsid w:val="00A904FA"/>
    <w:rsid w:val="00A978B1"/>
    <w:rsid w:val="00AA29B3"/>
    <w:rsid w:val="00AA326E"/>
    <w:rsid w:val="00AA556D"/>
    <w:rsid w:val="00AC06E7"/>
    <w:rsid w:val="00AC66F5"/>
    <w:rsid w:val="00AD4317"/>
    <w:rsid w:val="00AD7D4A"/>
    <w:rsid w:val="00AE00D9"/>
    <w:rsid w:val="00AE7FDF"/>
    <w:rsid w:val="00AF4007"/>
    <w:rsid w:val="00B06853"/>
    <w:rsid w:val="00B152CF"/>
    <w:rsid w:val="00B31E43"/>
    <w:rsid w:val="00B320DA"/>
    <w:rsid w:val="00B34BD0"/>
    <w:rsid w:val="00B53650"/>
    <w:rsid w:val="00B73419"/>
    <w:rsid w:val="00B90A13"/>
    <w:rsid w:val="00B930EE"/>
    <w:rsid w:val="00B95CB6"/>
    <w:rsid w:val="00BB3DCB"/>
    <w:rsid w:val="00BD7630"/>
    <w:rsid w:val="00BD7C0C"/>
    <w:rsid w:val="00BF16AB"/>
    <w:rsid w:val="00C03B77"/>
    <w:rsid w:val="00C13383"/>
    <w:rsid w:val="00C30257"/>
    <w:rsid w:val="00C3175B"/>
    <w:rsid w:val="00C37D06"/>
    <w:rsid w:val="00C63338"/>
    <w:rsid w:val="00C74007"/>
    <w:rsid w:val="00C7747E"/>
    <w:rsid w:val="00C92E02"/>
    <w:rsid w:val="00C94E51"/>
    <w:rsid w:val="00CC1951"/>
    <w:rsid w:val="00CC4231"/>
    <w:rsid w:val="00CE7C33"/>
    <w:rsid w:val="00D07F84"/>
    <w:rsid w:val="00D265AF"/>
    <w:rsid w:val="00D30E75"/>
    <w:rsid w:val="00D64E8B"/>
    <w:rsid w:val="00D7461A"/>
    <w:rsid w:val="00D75064"/>
    <w:rsid w:val="00D75349"/>
    <w:rsid w:val="00D76A01"/>
    <w:rsid w:val="00D96E3A"/>
    <w:rsid w:val="00DA429F"/>
    <w:rsid w:val="00DE65FD"/>
    <w:rsid w:val="00DE7C03"/>
    <w:rsid w:val="00E000A7"/>
    <w:rsid w:val="00E04571"/>
    <w:rsid w:val="00E06A0A"/>
    <w:rsid w:val="00E0733E"/>
    <w:rsid w:val="00E1165E"/>
    <w:rsid w:val="00E17AA8"/>
    <w:rsid w:val="00E25603"/>
    <w:rsid w:val="00E26453"/>
    <w:rsid w:val="00E42147"/>
    <w:rsid w:val="00E42732"/>
    <w:rsid w:val="00E46ADC"/>
    <w:rsid w:val="00E542CB"/>
    <w:rsid w:val="00E6226B"/>
    <w:rsid w:val="00E63F2E"/>
    <w:rsid w:val="00E80091"/>
    <w:rsid w:val="00E834BD"/>
    <w:rsid w:val="00E93024"/>
    <w:rsid w:val="00EA6A87"/>
    <w:rsid w:val="00EB0E4F"/>
    <w:rsid w:val="00EB22EB"/>
    <w:rsid w:val="00EB66A6"/>
    <w:rsid w:val="00EC34BE"/>
    <w:rsid w:val="00ED136A"/>
    <w:rsid w:val="00F069BA"/>
    <w:rsid w:val="00F15E50"/>
    <w:rsid w:val="00F17FCD"/>
    <w:rsid w:val="00F237E9"/>
    <w:rsid w:val="00F24F0F"/>
    <w:rsid w:val="00F30F32"/>
    <w:rsid w:val="00F33CEE"/>
    <w:rsid w:val="00F43310"/>
    <w:rsid w:val="00F623F9"/>
    <w:rsid w:val="00F62ED4"/>
    <w:rsid w:val="00F71068"/>
    <w:rsid w:val="00F81571"/>
    <w:rsid w:val="00F82419"/>
    <w:rsid w:val="00F8739B"/>
    <w:rsid w:val="00F90A7E"/>
    <w:rsid w:val="00FA283A"/>
    <w:rsid w:val="00FA62E3"/>
    <w:rsid w:val="00FB09BE"/>
    <w:rsid w:val="00FB2D1F"/>
    <w:rsid w:val="00FB791D"/>
    <w:rsid w:val="00FC4CF7"/>
    <w:rsid w:val="00FC6E53"/>
    <w:rsid w:val="00FC7737"/>
    <w:rsid w:val="00FD4283"/>
    <w:rsid w:val="00FE2CE0"/>
    <w:rsid w:val="00FF381B"/>
    <w:rsid w:val="00FF605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9C7AAD2"/>
  <w14:defaultImageDpi w14:val="32767"/>
  <w15:docId w15:val="{496136EA-7493-45DC-8AA2-DB1DC3F1D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12AB"/>
    <w:pPr>
      <w:spacing w:before="120" w:after="120" w:line="259" w:lineRule="auto"/>
    </w:pPr>
    <w:rPr>
      <w:rFonts w:ascii="Arial" w:eastAsia="Times New Roman" w:hAnsi="Arial" w:cs="Times New Roman"/>
      <w:sz w:val="22"/>
      <w:lang w:val="en-AU"/>
    </w:rPr>
  </w:style>
  <w:style w:type="paragraph" w:styleId="Heading1">
    <w:name w:val="heading 1"/>
    <w:next w:val="Normal"/>
    <w:link w:val="Heading1Char"/>
    <w:qFormat/>
    <w:rsid w:val="00F43310"/>
    <w:pPr>
      <w:keepNext/>
      <w:keepLines/>
      <w:spacing w:before="1320" w:after="120" w:line="259" w:lineRule="auto"/>
      <w:outlineLvl w:val="0"/>
    </w:pPr>
    <w:rPr>
      <w:rFonts w:ascii="Trebuchet MS" w:eastAsia="MS Gothic" w:hAnsi="Trebuchet MS" w:cstheme="majorBidi"/>
      <w:b/>
      <w:color w:val="1D4F91"/>
      <w:sz w:val="40"/>
      <w:szCs w:val="36"/>
      <w:lang w:val="en-US" w:eastAsia="en-AU"/>
    </w:rPr>
  </w:style>
  <w:style w:type="paragraph" w:styleId="Heading2">
    <w:name w:val="heading 2"/>
    <w:basedOn w:val="Normal"/>
    <w:next w:val="Normal"/>
    <w:link w:val="Heading2Char"/>
    <w:uiPriority w:val="9"/>
    <w:unhideWhenUsed/>
    <w:qFormat/>
    <w:rsid w:val="00FB09BE"/>
    <w:pPr>
      <w:keepNext/>
      <w:keepLines/>
      <w:spacing w:before="360" w:line="281" w:lineRule="auto"/>
      <w:outlineLvl w:val="1"/>
    </w:pPr>
    <w:rPr>
      <w:rFonts w:eastAsia="MS Gothic"/>
      <w:bCs/>
      <w:color w:val="1D4F91"/>
      <w:sz w:val="24"/>
      <w:szCs w:val="26"/>
      <w:lang w:val="en-US"/>
    </w:rPr>
  </w:style>
  <w:style w:type="paragraph" w:styleId="Heading3">
    <w:name w:val="heading 3"/>
    <w:basedOn w:val="Normal"/>
    <w:next w:val="Normal"/>
    <w:link w:val="Heading3Char"/>
    <w:uiPriority w:val="9"/>
    <w:unhideWhenUsed/>
    <w:qFormat/>
    <w:rsid w:val="00461E3E"/>
    <w:pPr>
      <w:keepNext/>
      <w:keepLines/>
      <w:spacing w:before="360" w:line="271" w:lineRule="auto"/>
      <w:outlineLvl w:val="2"/>
    </w:pPr>
    <w:rPr>
      <w:rFonts w:eastAsia="MS Gothic"/>
      <w:b/>
      <w:color w:val="1D4F91"/>
      <w:lang w:val="en-US"/>
    </w:rPr>
  </w:style>
  <w:style w:type="paragraph" w:styleId="Heading4">
    <w:name w:val="heading 4"/>
    <w:basedOn w:val="Normal"/>
    <w:next w:val="Normal"/>
    <w:link w:val="Heading4Char"/>
    <w:uiPriority w:val="9"/>
    <w:unhideWhenUsed/>
    <w:qFormat/>
    <w:rsid w:val="0009562A"/>
    <w:pPr>
      <w:keepNext/>
      <w:keepLines/>
      <w:spacing w:before="360"/>
      <w:outlineLvl w:val="3"/>
    </w:pPr>
    <w:rPr>
      <w:rFonts w:eastAsia="MS Gothic"/>
      <w:i/>
      <w:iCs/>
      <w:color w:val="1D4F91"/>
      <w:lang w:val="en-US"/>
    </w:rPr>
  </w:style>
  <w:style w:type="paragraph" w:styleId="Heading5">
    <w:name w:val="heading 5"/>
    <w:basedOn w:val="Normal"/>
    <w:next w:val="Normal"/>
    <w:link w:val="Heading5Char"/>
    <w:rsid w:val="002E28C3"/>
    <w:pPr>
      <w:keepNext/>
      <w:spacing w:after="60"/>
      <w:outlineLvl w:val="4"/>
    </w:pPr>
    <w:rPr>
      <w:b/>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43310"/>
    <w:rPr>
      <w:rFonts w:ascii="Trebuchet MS" w:eastAsia="MS Gothic" w:hAnsi="Trebuchet MS" w:cstheme="majorBidi"/>
      <w:b/>
      <w:color w:val="1D4F91"/>
      <w:sz w:val="40"/>
      <w:szCs w:val="36"/>
      <w:lang w:val="en-US" w:eastAsia="en-AU"/>
    </w:rPr>
  </w:style>
  <w:style w:type="character" w:customStyle="1" w:styleId="Heading2Char">
    <w:name w:val="Heading 2 Char"/>
    <w:basedOn w:val="DefaultParagraphFont"/>
    <w:link w:val="Heading2"/>
    <w:uiPriority w:val="9"/>
    <w:rsid w:val="00FB09BE"/>
    <w:rPr>
      <w:rFonts w:ascii="Arial" w:eastAsia="MS Gothic" w:hAnsi="Arial" w:cs="Times New Roman"/>
      <w:bCs/>
      <w:color w:val="1D4F91"/>
      <w:szCs w:val="26"/>
      <w:lang w:val="en-US"/>
    </w:rPr>
  </w:style>
  <w:style w:type="character" w:customStyle="1" w:styleId="Heading3Char">
    <w:name w:val="Heading 3 Char"/>
    <w:basedOn w:val="DefaultParagraphFont"/>
    <w:link w:val="Heading3"/>
    <w:uiPriority w:val="9"/>
    <w:rsid w:val="00461E3E"/>
    <w:rPr>
      <w:rFonts w:ascii="Arial" w:eastAsia="MS Gothic" w:hAnsi="Arial" w:cs="Times New Roman"/>
      <w:b/>
      <w:color w:val="1D4F91"/>
      <w:sz w:val="22"/>
      <w:lang w:val="en-US"/>
    </w:rPr>
  </w:style>
  <w:style w:type="character" w:customStyle="1" w:styleId="Heading4Char">
    <w:name w:val="Heading 4 Char"/>
    <w:basedOn w:val="DefaultParagraphFont"/>
    <w:link w:val="Heading4"/>
    <w:uiPriority w:val="9"/>
    <w:rsid w:val="0009562A"/>
    <w:rPr>
      <w:rFonts w:ascii="Arial" w:eastAsia="MS Gothic" w:hAnsi="Arial" w:cs="Times New Roman"/>
      <w:i/>
      <w:iCs/>
      <w:color w:val="1D4F91"/>
      <w:sz w:val="22"/>
      <w:lang w:val="en-US"/>
    </w:rPr>
  </w:style>
  <w:style w:type="character" w:customStyle="1" w:styleId="Heading5Char">
    <w:name w:val="Heading 5 Char"/>
    <w:basedOn w:val="DefaultParagraphFont"/>
    <w:link w:val="Heading5"/>
    <w:rsid w:val="002E28C3"/>
    <w:rPr>
      <w:rFonts w:ascii="Arial" w:eastAsiaTheme="minorEastAsia" w:hAnsi="Arial"/>
      <w:b/>
      <w:bCs/>
      <w:iCs/>
      <w:color w:val="595959" w:themeColor="text1" w:themeTint="A6"/>
      <w:sz w:val="21"/>
      <w:szCs w:val="26"/>
      <w:lang w:val="en-AU" w:eastAsia="en-AU"/>
    </w:rPr>
  </w:style>
  <w:style w:type="paragraph" w:customStyle="1" w:styleId="IntroPara">
    <w:name w:val="Intro Para"/>
    <w:basedOn w:val="Normal"/>
    <w:link w:val="IntroParaChar"/>
    <w:qFormat/>
    <w:rsid w:val="00F43310"/>
    <w:pPr>
      <w:spacing w:line="320" w:lineRule="auto"/>
    </w:pPr>
    <w:rPr>
      <w:rFonts w:cs="Times New Roman (Body CS)"/>
      <w:color w:val="1D4F91"/>
      <w:sz w:val="26"/>
    </w:rPr>
  </w:style>
  <w:style w:type="paragraph" w:styleId="ListBullet">
    <w:name w:val="List Bullet"/>
    <w:basedOn w:val="Normal"/>
    <w:uiPriority w:val="99"/>
    <w:unhideWhenUsed/>
    <w:qFormat/>
    <w:rsid w:val="00EB66A6"/>
    <w:pPr>
      <w:numPr>
        <w:numId w:val="4"/>
      </w:numPr>
      <w:ind w:left="470" w:hanging="357"/>
    </w:pPr>
    <w:rPr>
      <w:szCs w:val="21"/>
    </w:rPr>
  </w:style>
  <w:style w:type="paragraph" w:styleId="ListNumber">
    <w:name w:val="List Number"/>
    <w:uiPriority w:val="99"/>
    <w:unhideWhenUsed/>
    <w:qFormat/>
    <w:rsid w:val="005D12AB"/>
    <w:pPr>
      <w:keepNext/>
      <w:numPr>
        <w:numId w:val="6"/>
      </w:numPr>
      <w:spacing w:before="120" w:after="120" w:line="259" w:lineRule="auto"/>
    </w:pPr>
    <w:rPr>
      <w:rFonts w:ascii="Arial" w:eastAsia="Times New Roman" w:hAnsi="Arial" w:cs="Times New Roman"/>
      <w:sz w:val="22"/>
      <w:lang w:val="en-AU"/>
    </w:rPr>
  </w:style>
  <w:style w:type="paragraph" w:styleId="ListNumber2">
    <w:name w:val="List Number 2"/>
    <w:basedOn w:val="Normal"/>
    <w:uiPriority w:val="99"/>
    <w:unhideWhenUsed/>
    <w:qFormat/>
    <w:rsid w:val="002E28C3"/>
    <w:pPr>
      <w:contextualSpacing/>
    </w:pPr>
  </w:style>
  <w:style w:type="paragraph" w:styleId="ListParagraph">
    <w:name w:val="List Paragraph"/>
    <w:aliases w:val="#List Paragraph,Recommendation,List Paragraph1,List Paragraph11,L,SAP Subpara"/>
    <w:basedOn w:val="Normal"/>
    <w:link w:val="ListParagraphChar"/>
    <w:uiPriority w:val="34"/>
    <w:qFormat/>
    <w:rsid w:val="002E28C3"/>
    <w:pPr>
      <w:ind w:left="720"/>
      <w:contextualSpacing/>
    </w:pPr>
  </w:style>
  <w:style w:type="character" w:styleId="Strong">
    <w:name w:val="Strong"/>
    <w:basedOn w:val="DefaultParagraphFont"/>
    <w:rsid w:val="002E28C3"/>
    <w:rPr>
      <w:b/>
      <w:bCs/>
    </w:rPr>
  </w:style>
  <w:style w:type="paragraph" w:styleId="Title">
    <w:name w:val="Title"/>
    <w:basedOn w:val="Normal"/>
    <w:next w:val="Normal"/>
    <w:link w:val="TitleChar"/>
    <w:rsid w:val="002E28C3"/>
    <w:pPr>
      <w:pBdr>
        <w:bottom w:val="single" w:sz="8" w:space="4" w:color="4472C4" w:themeColor="accent1"/>
      </w:pBdr>
      <w:spacing w:after="300"/>
      <w:contextualSpacing/>
      <w:jc w:val="center"/>
    </w:pPr>
    <w:rPr>
      <w:rFonts w:eastAsiaTheme="majorEastAsia" w:cstheme="majorBidi"/>
      <w:b/>
      <w:kern w:val="28"/>
      <w:sz w:val="32"/>
      <w:szCs w:val="52"/>
    </w:rPr>
  </w:style>
  <w:style w:type="character" w:customStyle="1" w:styleId="TitleChar">
    <w:name w:val="Title Char"/>
    <w:basedOn w:val="DefaultParagraphFont"/>
    <w:link w:val="Title"/>
    <w:rsid w:val="002E28C3"/>
    <w:rPr>
      <w:rFonts w:ascii="Arial" w:eastAsiaTheme="majorEastAsia" w:hAnsi="Arial" w:cstheme="majorBidi"/>
      <w:b/>
      <w:color w:val="595959" w:themeColor="text1" w:themeTint="A6"/>
      <w:kern w:val="28"/>
      <w:sz w:val="32"/>
      <w:szCs w:val="52"/>
      <w:lang w:val="en-AU" w:eastAsia="en-AU"/>
    </w:rPr>
  </w:style>
  <w:style w:type="paragraph" w:styleId="IntenseQuote">
    <w:name w:val="Intense Quote"/>
    <w:basedOn w:val="Normal"/>
    <w:next w:val="Normal"/>
    <w:link w:val="IntenseQuoteChar"/>
    <w:autoRedefine/>
    <w:uiPriority w:val="30"/>
    <w:qFormat/>
    <w:rsid w:val="00853954"/>
    <w:pPr>
      <w:numPr>
        <w:numId w:val="2"/>
      </w:numPr>
    </w:pPr>
    <w:rPr>
      <w:iCs/>
      <w:color w:val="1D4F91"/>
      <w:sz w:val="28"/>
    </w:rPr>
  </w:style>
  <w:style w:type="character" w:customStyle="1" w:styleId="IntenseQuoteChar">
    <w:name w:val="Intense Quote Char"/>
    <w:basedOn w:val="DefaultParagraphFont"/>
    <w:link w:val="IntenseQuote"/>
    <w:uiPriority w:val="30"/>
    <w:rsid w:val="00853954"/>
    <w:rPr>
      <w:rFonts w:ascii="Arial" w:eastAsia="Times New Roman" w:hAnsi="Arial" w:cs="Times New Roman"/>
      <w:iCs/>
      <w:color w:val="1D4F91"/>
      <w:sz w:val="28"/>
      <w:lang w:val="en-AU"/>
    </w:rPr>
  </w:style>
  <w:style w:type="paragraph" w:customStyle="1" w:styleId="PolicyStatement">
    <w:name w:val="PolicyStatement"/>
    <w:basedOn w:val="Normal"/>
    <w:qFormat/>
    <w:rsid w:val="0009562A"/>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FFFFF" w:themeFill="background1"/>
      <w:ind w:left="227" w:right="227"/>
    </w:pPr>
  </w:style>
  <w:style w:type="paragraph" w:customStyle="1" w:styleId="VisionBox">
    <w:name w:val="VisionBox"/>
    <w:basedOn w:val="Normal"/>
    <w:qFormat/>
    <w:rsid w:val="00FB09BE"/>
    <w:pPr>
      <w:pBdr>
        <w:top w:val="single" w:sz="4" w:space="15" w:color="1D4F91"/>
        <w:bottom w:val="single" w:sz="4" w:space="10" w:color="1D4F91"/>
      </w:pBdr>
      <w:spacing w:before="360" w:after="360" w:line="340" w:lineRule="exact"/>
    </w:pPr>
    <w:rPr>
      <w:rFonts w:eastAsiaTheme="minorHAnsi"/>
      <w:color w:val="1D4F91"/>
    </w:rPr>
  </w:style>
  <w:style w:type="paragraph" w:customStyle="1" w:styleId="Policystylebullet">
    <w:name w:val="Policy style bullet"/>
    <w:basedOn w:val="PolicyStatement"/>
    <w:qFormat/>
    <w:rsid w:val="00FF381B"/>
    <w:pPr>
      <w:numPr>
        <w:numId w:val="1"/>
      </w:numPr>
    </w:pPr>
  </w:style>
  <w:style w:type="paragraph" w:customStyle="1" w:styleId="Style1">
    <w:name w:val="Style1"/>
    <w:next w:val="Normal"/>
    <w:qFormat/>
    <w:rsid w:val="00F43310"/>
    <w:pPr>
      <w:pBdr>
        <w:top w:val="single" w:sz="6" w:space="20" w:color="FFFFFF" w:themeColor="background1"/>
        <w:left w:val="single" w:sz="6" w:space="10" w:color="FFFFFF" w:themeColor="background1"/>
        <w:bottom w:val="single" w:sz="6" w:space="10" w:color="FFFFFF" w:themeColor="background1"/>
        <w:right w:val="single" w:sz="6" w:space="10" w:color="FFFFFF" w:themeColor="background1"/>
      </w:pBdr>
      <w:shd w:val="clear" w:color="auto" w:fill="FFFFFF" w:themeFill="background1"/>
      <w:spacing w:before="120" w:after="120" w:line="259" w:lineRule="auto"/>
      <w:ind w:left="227" w:right="227"/>
    </w:pPr>
    <w:rPr>
      <w:rFonts w:ascii="Arial" w:eastAsia="Times New Roman" w:hAnsi="Arial" w:cs="Arial"/>
      <w:color w:val="000000" w:themeColor="text1"/>
      <w:sz w:val="21"/>
      <w:lang w:val="en"/>
    </w:rPr>
  </w:style>
  <w:style w:type="paragraph" w:styleId="Header">
    <w:name w:val="header"/>
    <w:basedOn w:val="Normal"/>
    <w:link w:val="HeaderChar"/>
    <w:uiPriority w:val="99"/>
    <w:unhideWhenUsed/>
    <w:rsid w:val="00F15E50"/>
    <w:pPr>
      <w:tabs>
        <w:tab w:val="center" w:pos="4513"/>
        <w:tab w:val="right" w:pos="9026"/>
      </w:tabs>
      <w:spacing w:before="0" w:line="240" w:lineRule="auto"/>
    </w:pPr>
  </w:style>
  <w:style w:type="character" w:customStyle="1" w:styleId="HeaderChar">
    <w:name w:val="Header Char"/>
    <w:basedOn w:val="DefaultParagraphFont"/>
    <w:link w:val="Header"/>
    <w:uiPriority w:val="99"/>
    <w:rsid w:val="00F15E50"/>
    <w:rPr>
      <w:rFonts w:ascii="Arial" w:eastAsia="Times New Roman" w:hAnsi="Arial" w:cs="Times New Roman"/>
      <w:sz w:val="21"/>
      <w:lang w:val="en-AU"/>
    </w:rPr>
  </w:style>
  <w:style w:type="paragraph" w:styleId="Footer">
    <w:name w:val="footer"/>
    <w:basedOn w:val="Normal"/>
    <w:link w:val="FooterChar"/>
    <w:uiPriority w:val="99"/>
    <w:unhideWhenUsed/>
    <w:rsid w:val="00F15E50"/>
    <w:pPr>
      <w:tabs>
        <w:tab w:val="center" w:pos="4513"/>
        <w:tab w:val="right" w:pos="9026"/>
      </w:tabs>
      <w:spacing w:before="0" w:line="240" w:lineRule="auto"/>
    </w:pPr>
    <w:rPr>
      <w:color w:val="358189"/>
    </w:rPr>
  </w:style>
  <w:style w:type="character" w:customStyle="1" w:styleId="FooterChar">
    <w:name w:val="Footer Char"/>
    <w:basedOn w:val="DefaultParagraphFont"/>
    <w:link w:val="Footer"/>
    <w:uiPriority w:val="99"/>
    <w:rsid w:val="00F15E50"/>
    <w:rPr>
      <w:rFonts w:ascii="Arial" w:eastAsia="Times New Roman" w:hAnsi="Arial" w:cs="Times New Roman"/>
      <w:color w:val="358189"/>
      <w:sz w:val="21"/>
      <w:lang w:val="en-AU"/>
    </w:rPr>
  </w:style>
  <w:style w:type="paragraph" w:styleId="BalloonText">
    <w:name w:val="Balloon Text"/>
    <w:basedOn w:val="Normal"/>
    <w:link w:val="BalloonTextChar"/>
    <w:uiPriority w:val="99"/>
    <w:semiHidden/>
    <w:unhideWhenUsed/>
    <w:rsid w:val="00C74007"/>
    <w:pPr>
      <w:spacing w:before="0"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C74007"/>
    <w:rPr>
      <w:rFonts w:ascii="Times New Roman" w:eastAsia="Times New Roman" w:hAnsi="Times New Roman" w:cs="Times New Roman"/>
      <w:sz w:val="18"/>
      <w:szCs w:val="18"/>
      <w:lang w:val="en-AU"/>
    </w:rPr>
  </w:style>
  <w:style w:type="character" w:styleId="Hyperlink">
    <w:name w:val="Hyperlink"/>
    <w:basedOn w:val="DefaultParagraphFont"/>
    <w:uiPriority w:val="99"/>
    <w:unhideWhenUsed/>
    <w:rsid w:val="0073453D"/>
    <w:rPr>
      <w:color w:val="0563C1" w:themeColor="hyperlink"/>
      <w:u w:val="single"/>
    </w:rPr>
  </w:style>
  <w:style w:type="table" w:styleId="TableGrid">
    <w:name w:val="Table Grid"/>
    <w:basedOn w:val="TableNormal"/>
    <w:uiPriority w:val="39"/>
    <w:rsid w:val="00DE65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52F69"/>
    <w:rPr>
      <w:color w:val="605E5C"/>
      <w:shd w:val="clear" w:color="auto" w:fill="E1DFDD"/>
    </w:rPr>
  </w:style>
  <w:style w:type="character" w:customStyle="1" w:styleId="ListParagraphChar">
    <w:name w:val="List Paragraph Char"/>
    <w:aliases w:val="#List Paragraph Char,Recommendation Char,List Paragraph1 Char,List Paragraph11 Char,L Char,SAP Subpara Char"/>
    <w:basedOn w:val="DefaultParagraphFont"/>
    <w:link w:val="ListParagraph"/>
    <w:uiPriority w:val="34"/>
    <w:locked/>
    <w:rsid w:val="00F90A7E"/>
    <w:rPr>
      <w:rFonts w:ascii="Arial" w:eastAsia="Times New Roman" w:hAnsi="Arial" w:cs="Times New Roman"/>
      <w:sz w:val="21"/>
      <w:lang w:val="en-AU"/>
    </w:rPr>
  </w:style>
  <w:style w:type="paragraph" w:styleId="TOCHeading">
    <w:name w:val="TOC Heading"/>
    <w:basedOn w:val="Heading1"/>
    <w:next w:val="Normal"/>
    <w:uiPriority w:val="39"/>
    <w:unhideWhenUsed/>
    <w:qFormat/>
    <w:rsid w:val="00063110"/>
    <w:pPr>
      <w:keepNext w:val="0"/>
      <w:keepLines w:val="0"/>
      <w:spacing w:before="120"/>
      <w:outlineLvl w:val="9"/>
    </w:pPr>
    <w:rPr>
      <w:rFonts w:ascii="Arial" w:eastAsia="Calibri" w:hAnsi="Arial" w:cstheme="minorBidi"/>
      <w:color w:val="538135" w:themeColor="accent6" w:themeShade="BF"/>
      <w:szCs w:val="40"/>
      <w:lang w:val="en-AU" w:eastAsia="en-US" w:bidi="en-US"/>
    </w:rPr>
  </w:style>
  <w:style w:type="paragraph" w:styleId="TOC1">
    <w:name w:val="toc 1"/>
    <w:basedOn w:val="Normal"/>
    <w:next w:val="Normal"/>
    <w:autoRedefine/>
    <w:uiPriority w:val="39"/>
    <w:unhideWhenUsed/>
    <w:rsid w:val="00832920"/>
    <w:pPr>
      <w:tabs>
        <w:tab w:val="right" w:pos="9054"/>
      </w:tabs>
      <w:spacing w:after="100" w:line="240" w:lineRule="auto"/>
    </w:pPr>
    <w:rPr>
      <w:rFonts w:eastAsiaTheme="minorHAnsi" w:cstheme="minorBidi"/>
      <w:sz w:val="24"/>
      <w:szCs w:val="22"/>
    </w:rPr>
  </w:style>
  <w:style w:type="paragraph" w:styleId="TOC2">
    <w:name w:val="toc 2"/>
    <w:basedOn w:val="Normal"/>
    <w:next w:val="Normal"/>
    <w:autoRedefine/>
    <w:uiPriority w:val="39"/>
    <w:unhideWhenUsed/>
    <w:rsid w:val="00730EF1"/>
    <w:pPr>
      <w:tabs>
        <w:tab w:val="right" w:leader="dot" w:pos="9054"/>
      </w:tabs>
      <w:spacing w:line="240" w:lineRule="auto"/>
    </w:pPr>
    <w:rPr>
      <w:rFonts w:eastAsiaTheme="minorHAnsi" w:cstheme="minorBidi"/>
      <w:sz w:val="24"/>
      <w:szCs w:val="22"/>
    </w:rPr>
  </w:style>
  <w:style w:type="paragraph" w:styleId="TOC3">
    <w:name w:val="toc 3"/>
    <w:basedOn w:val="Normal"/>
    <w:next w:val="Normal"/>
    <w:autoRedefine/>
    <w:uiPriority w:val="39"/>
    <w:unhideWhenUsed/>
    <w:rsid w:val="00882168"/>
    <w:pPr>
      <w:spacing w:after="100"/>
      <w:ind w:left="420"/>
    </w:pPr>
  </w:style>
  <w:style w:type="character" w:styleId="FollowedHyperlink">
    <w:name w:val="FollowedHyperlink"/>
    <w:basedOn w:val="DefaultParagraphFont"/>
    <w:uiPriority w:val="99"/>
    <w:semiHidden/>
    <w:unhideWhenUsed/>
    <w:rsid w:val="00EB22EB"/>
    <w:rPr>
      <w:color w:val="954F72" w:themeColor="followedHyperlink"/>
      <w:u w:val="single"/>
    </w:rPr>
  </w:style>
  <w:style w:type="character" w:styleId="BookTitle">
    <w:name w:val="Book Title"/>
    <w:uiPriority w:val="33"/>
    <w:qFormat/>
    <w:rsid w:val="0040141B"/>
    <w:rPr>
      <w:i/>
      <w:iCs/>
      <w:smallCaps/>
      <w:spacing w:val="5"/>
    </w:rPr>
  </w:style>
  <w:style w:type="character" w:styleId="CommentReference">
    <w:name w:val="annotation reference"/>
    <w:basedOn w:val="DefaultParagraphFont"/>
    <w:uiPriority w:val="99"/>
    <w:semiHidden/>
    <w:unhideWhenUsed/>
    <w:rsid w:val="0040141B"/>
    <w:rPr>
      <w:sz w:val="16"/>
      <w:szCs w:val="16"/>
    </w:rPr>
  </w:style>
  <w:style w:type="paragraph" w:styleId="CommentText">
    <w:name w:val="annotation text"/>
    <w:basedOn w:val="Normal"/>
    <w:link w:val="CommentTextChar"/>
    <w:uiPriority w:val="99"/>
    <w:unhideWhenUsed/>
    <w:rsid w:val="0040141B"/>
    <w:pPr>
      <w:spacing w:after="240" w:line="240" w:lineRule="auto"/>
    </w:pPr>
    <w:rPr>
      <w:rFonts w:eastAsiaTheme="minorHAnsi" w:cstheme="minorBidi"/>
      <w:sz w:val="20"/>
      <w:szCs w:val="20"/>
    </w:rPr>
  </w:style>
  <w:style w:type="character" w:customStyle="1" w:styleId="CommentTextChar">
    <w:name w:val="Comment Text Char"/>
    <w:basedOn w:val="DefaultParagraphFont"/>
    <w:link w:val="CommentText"/>
    <w:uiPriority w:val="99"/>
    <w:rsid w:val="0040141B"/>
    <w:rPr>
      <w:rFonts w:ascii="Arial" w:hAnsi="Arial"/>
      <w:sz w:val="20"/>
      <w:szCs w:val="20"/>
      <w:lang w:val="en-AU"/>
    </w:rPr>
  </w:style>
  <w:style w:type="character" w:styleId="IntenseEmphasis">
    <w:name w:val="Intense Emphasis"/>
    <w:basedOn w:val="DefaultParagraphFont"/>
    <w:uiPriority w:val="21"/>
    <w:qFormat/>
    <w:rsid w:val="004758A2"/>
    <w:rPr>
      <w:i/>
      <w:iCs/>
      <w:color w:val="4472C4" w:themeColor="accent1"/>
    </w:rPr>
  </w:style>
  <w:style w:type="paragraph" w:customStyle="1" w:styleId="Introparagraphlistbullet">
    <w:name w:val="Intro paragraph (list bullet)"/>
    <w:basedOn w:val="IntroPara"/>
    <w:link w:val="IntroparagraphlistbulletChar"/>
    <w:qFormat/>
    <w:rsid w:val="00F43310"/>
    <w:pPr>
      <w:numPr>
        <w:numId w:val="3"/>
      </w:numPr>
      <w:spacing w:line="319" w:lineRule="auto"/>
      <w:ind w:left="714" w:hanging="357"/>
    </w:pPr>
  </w:style>
  <w:style w:type="character" w:customStyle="1" w:styleId="IntroParaChar">
    <w:name w:val="Intro Para Char"/>
    <w:basedOn w:val="DefaultParagraphFont"/>
    <w:link w:val="IntroPara"/>
    <w:rsid w:val="00F43310"/>
    <w:rPr>
      <w:rFonts w:ascii="Arial" w:eastAsia="Times New Roman" w:hAnsi="Arial" w:cs="Times New Roman (Body CS)"/>
      <w:color w:val="1D4F91"/>
      <w:sz w:val="26"/>
      <w:lang w:val="en-AU"/>
    </w:rPr>
  </w:style>
  <w:style w:type="character" w:customStyle="1" w:styleId="IntroparagraphlistbulletChar">
    <w:name w:val="Intro paragraph (list bullet) Char"/>
    <w:basedOn w:val="IntroParaChar"/>
    <w:link w:val="Introparagraphlistbullet"/>
    <w:rsid w:val="00F43310"/>
    <w:rPr>
      <w:rFonts w:ascii="Arial" w:eastAsia="Times New Roman" w:hAnsi="Arial" w:cs="Times New Roman (Body CS)"/>
      <w:color w:val="1D4F91"/>
      <w:sz w:val="26"/>
      <w:lang w:val="en-AU"/>
    </w:rPr>
  </w:style>
  <w:style w:type="paragraph" w:styleId="CommentSubject">
    <w:name w:val="annotation subject"/>
    <w:basedOn w:val="CommentText"/>
    <w:next w:val="CommentText"/>
    <w:link w:val="CommentSubjectChar"/>
    <w:uiPriority w:val="99"/>
    <w:semiHidden/>
    <w:unhideWhenUsed/>
    <w:rsid w:val="007A48AC"/>
    <w:pPr>
      <w:spacing w:after="120"/>
    </w:pPr>
    <w:rPr>
      <w:rFonts w:eastAsia="Times New Roman" w:cs="Times New Roman"/>
      <w:b/>
      <w:bCs/>
    </w:rPr>
  </w:style>
  <w:style w:type="character" w:customStyle="1" w:styleId="CommentSubjectChar">
    <w:name w:val="Comment Subject Char"/>
    <w:basedOn w:val="CommentTextChar"/>
    <w:link w:val="CommentSubject"/>
    <w:uiPriority w:val="99"/>
    <w:semiHidden/>
    <w:rsid w:val="007A48AC"/>
    <w:rPr>
      <w:rFonts w:ascii="Arial" w:eastAsia="Times New Roman" w:hAnsi="Arial" w:cs="Times New Roman"/>
      <w:b/>
      <w:bCs/>
      <w:sz w:val="20"/>
      <w:szCs w:val="20"/>
      <w:lang w:val="en-AU"/>
    </w:rPr>
  </w:style>
  <w:style w:type="paragraph" w:styleId="Revision">
    <w:name w:val="Revision"/>
    <w:hidden/>
    <w:uiPriority w:val="99"/>
    <w:semiHidden/>
    <w:rsid w:val="00B31E43"/>
    <w:rPr>
      <w:rFonts w:ascii="Arial" w:eastAsia="Times New Roman" w:hAnsi="Arial" w:cs="Times New Roman"/>
      <w:sz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2782888">
      <w:bodyDiv w:val="1"/>
      <w:marLeft w:val="0"/>
      <w:marRight w:val="0"/>
      <w:marTop w:val="0"/>
      <w:marBottom w:val="0"/>
      <w:divBdr>
        <w:top w:val="none" w:sz="0" w:space="0" w:color="auto"/>
        <w:left w:val="none" w:sz="0" w:space="0" w:color="auto"/>
        <w:bottom w:val="none" w:sz="0" w:space="0" w:color="auto"/>
        <w:right w:val="none" w:sz="0" w:space="0" w:color="auto"/>
      </w:divBdr>
      <w:divsChild>
        <w:div w:id="1536382092">
          <w:marLeft w:val="14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our-work/home-care-packages-program/responsibilities/transferring" TargetMode="External"/><Relationship Id="rId18" Type="http://schemas.openxmlformats.org/officeDocument/2006/relationships/image" Target="media/image5.png"/><Relationship Id="rId26" Type="http://schemas.openxmlformats.org/officeDocument/2006/relationships/image" Target="media/image13.png"/><Relationship Id="rId39" Type="http://schemas.openxmlformats.org/officeDocument/2006/relationships/image" Target="media/image25.png"/><Relationship Id="rId3" Type="http://schemas.openxmlformats.org/officeDocument/2006/relationships/customXml" Target="../customXml/item3.xml"/><Relationship Id="rId21" Type="http://schemas.openxmlformats.org/officeDocument/2006/relationships/image" Target="media/image8.png"/><Relationship Id="rId34" Type="http://schemas.openxmlformats.org/officeDocument/2006/relationships/image" Target="media/image20.png"/><Relationship Id="rId42" Type="http://schemas.openxmlformats.org/officeDocument/2006/relationships/hyperlink" Target="https://www.health.gov.au/resources/apps-and-tools/my-aged-care-service-and-support-portal" TargetMode="External"/><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health.gov.au/resources/publications/application-to-vary-conditions-of-allocation" TargetMode="Externa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image" Target="media/image19.png"/><Relationship Id="rId38" Type="http://schemas.openxmlformats.org/officeDocument/2006/relationships/image" Target="media/image24.png"/><Relationship Id="rId46"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6.png"/><Relationship Id="rId41" Type="http://schemas.openxmlformats.org/officeDocument/2006/relationships/image" Target="media/image2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resources/publications/application-to-vary-conditions-of-allocation" TargetMode="External"/><Relationship Id="rId24" Type="http://schemas.openxmlformats.org/officeDocument/2006/relationships/image" Target="media/image11.png"/><Relationship Id="rId32" Type="http://schemas.openxmlformats.org/officeDocument/2006/relationships/image" Target="media/image18.png"/><Relationship Id="rId37" Type="http://schemas.openxmlformats.org/officeDocument/2006/relationships/image" Target="media/image23.png"/><Relationship Id="rId40" Type="http://schemas.openxmlformats.org/officeDocument/2006/relationships/image" Target="media/image26.png"/><Relationship Id="rId45"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image" Target="media/image22.png"/><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hyperlink" Target="https://www.health.gov.au/resources/publications/application-to-vary-conditions-of-allocation"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1.png"/><Relationship Id="rId43" Type="http://schemas.openxmlformats.org/officeDocument/2006/relationships/header" Target="header1.xml"/><Relationship Id="rId48"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myagedcare.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8.png"/></Relationships>
</file>

<file path=word/_rels/header2.xml.rels><?xml version="1.0" encoding="UTF-8" standalone="yes"?>
<Relationships xmlns="http://schemas.openxmlformats.org/package/2006/relationships"><Relationship Id="rId1" Type="http://schemas.openxmlformats.org/officeDocument/2006/relationships/image" Target="media/image2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2C96BF79B263478F32DAA0597FB74D" ma:contentTypeVersion="33" ma:contentTypeDescription="Create a new document." ma:contentTypeScope="" ma:versionID="61d65e4764c8dd4c84a8119d0abd08c2">
  <xsd:schema xmlns:xsd="http://www.w3.org/2001/XMLSchema" xmlns:xs="http://www.w3.org/2001/XMLSchema" xmlns:p="http://schemas.microsoft.com/office/2006/metadata/properties" xmlns:ns2="64d0b66a-745c-439f-bf76-03889c346bed" xmlns:ns3="719085c8-530d-4d40-b8b9-63d5f51fab06" targetNamespace="http://schemas.microsoft.com/office/2006/metadata/properties" ma:root="true" ma:fieldsID="489e7f7bb4359757e2158d4a875183b3" ns2:_="" ns3:_="">
    <xsd:import namespace="64d0b66a-745c-439f-bf76-03889c346bed"/>
    <xsd:import namespace="719085c8-530d-4d40-b8b9-63d5f51fab0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Notes" minOccurs="0"/>
                <xsd:element ref="ns2:BusinessContacts" minOccurs="0"/>
                <xsd:element ref="ns2:CR_x002f_PCRS" minOccurs="0"/>
                <xsd:element ref="ns2:lcf76f155ced4ddcb4097134ff3c332f" minOccurs="0"/>
                <xsd:element ref="ns3:TaxCatchAll" minOccurs="0"/>
                <xsd:element ref="ns2:CR" minOccurs="0"/>
                <xsd:element ref="ns2:DatesenttoBusiness" minOccurs="0"/>
                <xsd:element ref="ns2:Senttowhichperson" minOccurs="0"/>
                <xsd:element ref="ns2:Notes0" minOccurs="0"/>
                <xsd:element ref="ns2:ChrisTest25_x002f_01" minOccurs="0"/>
                <xsd:element ref="ns2:Dateofdocument" minOccurs="0"/>
                <xsd:element ref="ns2:Endorsedby" minOccurs="0"/>
                <xsd:element ref="ns2:ChangeLocations" minOccurs="0"/>
                <xsd:element ref="ns2:Currentlypublishedlocationonhealth_x002e_gov_x002e_au" minOccurs="0"/>
                <xsd:element ref="ns2:Comment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d0b66a-745c-439f-bf76-03889c346b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Notes" ma:index="21" nillable="true" ma:displayName="Due Back to us by Date" ma:description="Notes" ma:format="DateOnly" ma:internalName="Notes">
      <xsd:simpleType>
        <xsd:restriction base="dms:DateTime"/>
      </xsd:simpleType>
    </xsd:element>
    <xsd:element name="BusinessContacts" ma:index="22" nillable="true" ma:displayName="Contacts" ma:format="Dropdown" ma:internalName="BusinessContacts">
      <xsd:simpleType>
        <xsd:restriction base="dms:Note">
          <xsd:maxLength value="255"/>
        </xsd:restriction>
      </xsd:simpleType>
    </xsd:element>
    <xsd:element name="CR_x002f_PCRS" ma:index="23" nillable="true" ma:displayName="CR / PCRS" ma:format="Dropdown" ma:internalName="CR_x002f_PCRS">
      <xsd:simpleType>
        <xsd:restriction base="dms:Note">
          <xsd:maxLength value="255"/>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CR" ma:index="27" nillable="true" ma:displayName="CR" ma:format="Dropdown" ma:internalName="CR">
      <xsd:simpleType>
        <xsd:restriction base="dms:Text">
          <xsd:maxLength value="255"/>
        </xsd:restriction>
      </xsd:simpleType>
    </xsd:element>
    <xsd:element name="DatesenttoBusiness" ma:index="28" nillable="true" ma:displayName="Date" ma:format="DateOnly" ma:internalName="DatesenttoBusiness">
      <xsd:simpleType>
        <xsd:restriction base="dms:DateTime"/>
      </xsd:simpleType>
    </xsd:element>
    <xsd:element name="Senttowhichperson" ma:index="29" nillable="true" ma:displayName="Sent to which person" ma:format="Dropdown" ma:list="UserInfo" ma:SharePointGroup="0" ma:internalName="Senttowhich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Notes0" ma:index="30" nillable="true" ma:displayName="Consulted with" ma:format="Dropdown" ma:internalName="Notes0">
      <xsd:simpleType>
        <xsd:restriction base="dms:Text">
          <xsd:maxLength value="255"/>
        </xsd:restriction>
      </xsd:simpleType>
    </xsd:element>
    <xsd:element name="ChrisTest25_x002f_01" ma:index="31" nillable="true" ma:displayName="Chris Test 25/01" ma:format="Dropdown" ma:internalName="ChrisTest25_x002f_01">
      <xsd:simpleType>
        <xsd:restriction base="dms:Note"/>
      </xsd:simpleType>
    </xsd:element>
    <xsd:element name="Dateofdocument" ma:index="32" nillable="true" ma:displayName="ACG or SF" ma:format="Dropdown" ma:internalName="Dateofdocument">
      <xsd:simpleType>
        <xsd:restriction base="dms:Choice">
          <xsd:enumeration value="ACG"/>
          <xsd:enumeration value="SF"/>
          <xsd:enumeration value="Both"/>
        </xsd:restriction>
      </xsd:simpleType>
    </xsd:element>
    <xsd:element name="Endorsedby" ma:index="33" nillable="true" ma:displayName="Endorsed by" ma:format="Dropdown" ma:internalName="Endorsedby">
      <xsd:simpleType>
        <xsd:restriction base="dms:Text">
          <xsd:maxLength value="255"/>
        </xsd:restriction>
      </xsd:simpleType>
    </xsd:element>
    <xsd:element name="ChangeLocations" ma:index="34" nillable="true" ma:displayName="Current Guide Status" ma:format="Dropdown" ma:internalName="ChangeLocations">
      <xsd:simpleType>
        <xsd:restriction base="dms:Note">
          <xsd:maxLength value="255"/>
        </xsd:restriction>
      </xsd:simpleType>
    </xsd:element>
    <xsd:element name="Currentlypublishedlocationonhealth_x002e_gov_x002e_au" ma:index="35" nillable="true" ma:displayName="Currently published location on health.gov.au" ma:format="Dropdown" ma:internalName="Currentlypublishedlocationonhealth_x002e_gov_x002e_au">
      <xsd:simpleType>
        <xsd:restriction base="dms:Text">
          <xsd:maxLength value="255"/>
        </xsd:restriction>
      </xsd:simpleType>
    </xsd:element>
    <xsd:element name="Comments" ma:index="36" nillable="true" ma:displayName="Comments" ma:format="Dropdown" ma:internalName="Comments">
      <xsd:simpleType>
        <xsd:restriction base="dms:Text">
          <xsd:maxLength value="255"/>
        </xsd:restriction>
      </xsd:simpleType>
    </xsd:element>
    <xsd:element name="MediaServiceObjectDetectorVersions" ma:index="37" nillable="true" ma:displayName="MediaServiceObjectDetectorVersions" ma:hidden="true" ma:indexed="true" ma:internalName="MediaServiceObjectDetectorVersions" ma:readOnly="true">
      <xsd:simpleType>
        <xsd:restriction base="dms:Text"/>
      </xsd:simpleType>
    </xsd:element>
    <xsd:element name="MediaServiceSearchProperties" ma:index="3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19085c8-530d-4d40-b8b9-63d5f51fab0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6423f992-9ca3-492e-a689-13e3658982d5}" ma:internalName="TaxCatchAll" ma:showField="CatchAllData" ma:web="719085c8-530d-4d40-b8b9-63d5f51fab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R_x002f_PCRS xmlns="64d0b66a-745c-439f-bf76-03889c346bed" xsi:nil="true"/>
    <Notes xmlns="64d0b66a-745c-439f-bf76-03889c346bed" xsi:nil="true"/>
    <TaxCatchAll xmlns="719085c8-530d-4d40-b8b9-63d5f51fab06" xsi:nil="true"/>
    <lcf76f155ced4ddcb4097134ff3c332f xmlns="64d0b66a-745c-439f-bf76-03889c346bed">
      <Terms xmlns="http://schemas.microsoft.com/office/infopath/2007/PartnerControls"/>
    </lcf76f155ced4ddcb4097134ff3c332f>
    <BusinessContacts xmlns="64d0b66a-745c-439f-bf76-03889c346bed">Resaved author - CK</BusinessContacts>
    <CR xmlns="64d0b66a-745c-439f-bf76-03889c346bed" xsi:nil="true"/>
    <Dateofdocument xmlns="64d0b66a-745c-439f-bf76-03889c346bed" xsi:nil="true"/>
    <Senttowhichperson xmlns="64d0b66a-745c-439f-bf76-03889c346bed">
      <UserInfo>
        <DisplayName/>
        <AccountId xsi:nil="true"/>
        <AccountType/>
      </UserInfo>
    </Senttowhichperson>
    <DatesenttoBusiness xmlns="64d0b66a-745c-439f-bf76-03889c346bed" xsi:nil="true"/>
    <Notes0 xmlns="64d0b66a-745c-439f-bf76-03889c346bed">Done</Notes0>
    <ChrisTest25_x002f_01 xmlns="64d0b66a-745c-439f-bf76-03889c346bed" xsi:nil="true"/>
    <Endorsedby xmlns="64d0b66a-745c-439f-bf76-03889c346bed" xsi:nil="true"/>
    <Currentlypublishedlocationonhealth_x002e_gov_x002e_au xmlns="64d0b66a-745c-439f-bf76-03889c346bed" xsi:nil="true"/>
    <Comments xmlns="64d0b66a-745c-439f-bf76-03889c346bed" xsi:nil="true"/>
    <ChangeLocations xmlns="64d0b66a-745c-439f-bf76-03889c346bed"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5EBA810-148F-41EE-BF22-F607182C86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d0b66a-745c-439f-bf76-03889c346bed"/>
    <ds:schemaRef ds:uri="719085c8-530d-4d40-b8b9-63d5f51fab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E39DB3-5157-4116-9BA6-1D113CEC1E55}">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64d0b66a-745c-439f-bf76-03889c346bed"/>
    <ds:schemaRef ds:uri="719085c8-530d-4d40-b8b9-63d5f51fab06"/>
    <ds:schemaRef ds:uri="http://www.w3.org/XML/1998/namespace"/>
  </ds:schemaRefs>
</ds:datastoreItem>
</file>

<file path=customXml/itemProps3.xml><?xml version="1.0" encoding="utf-8"?>
<ds:datastoreItem xmlns:ds="http://schemas.openxmlformats.org/officeDocument/2006/customXml" ds:itemID="{D45EADEA-858E-41A1-8C17-9053BFB08534}">
  <ds:schemaRefs>
    <ds:schemaRef ds:uri="http://schemas.openxmlformats.org/officeDocument/2006/bibliography"/>
  </ds:schemaRefs>
</ds:datastoreItem>
</file>

<file path=customXml/itemProps4.xml><?xml version="1.0" encoding="utf-8"?>
<ds:datastoreItem xmlns:ds="http://schemas.openxmlformats.org/officeDocument/2006/customXml" ds:itemID="{8E6A193C-8887-4A84-A6E8-BA8C7F318F6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1486</Words>
  <Characters>8472</Characters>
  <Application>Microsoft Office Word</Application>
  <DocSecurity>2</DocSecurity>
  <Lines>70</Lines>
  <Paragraphs>19</Paragraphs>
  <ScaleCrop>false</ScaleCrop>
  <HeadingPairs>
    <vt:vector size="2" baseType="variant">
      <vt:variant>
        <vt:lpstr>Title</vt:lpstr>
      </vt:variant>
      <vt:variant>
        <vt:i4>1</vt:i4>
      </vt:variant>
    </vt:vector>
  </HeadingPairs>
  <TitlesOfParts>
    <vt:vector size="1" baseType="lpstr">
      <vt:lpstr>Service and Support Portal User Guide – Advanced outlet and service management: transferring clients and services</vt:lpstr>
    </vt:vector>
  </TitlesOfParts>
  <Company/>
  <LinksUpToDate>false</LinksUpToDate>
  <CharactersWithSpaces>9939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and Support Portal User Guide – Advanced outlet and service management: transferring clients and services</dc:title>
  <dc:subject>Aged care</dc:subject>
  <dc:creator>Australian Government Department of Health and Aged Care</dc:creator>
  <cp:keywords>Aged care; My Aged care; Service and Support Portal User Guide</cp:keywords>
  <dc:description>Current version: R29 February 2024. Previous version: GPMS Tile release March 2023</dc:description>
  <cp:lastModifiedBy>MASCHKE, Elvia</cp:lastModifiedBy>
  <cp:revision>3</cp:revision>
  <cp:lastPrinted>2018-10-09T02:22:00Z</cp:lastPrinted>
  <dcterms:created xsi:type="dcterms:W3CDTF">2024-02-21T02:02:00Z</dcterms:created>
  <dcterms:modified xsi:type="dcterms:W3CDTF">2024-02-21T02:03:00Z</dcterms:modified>
</cp:coreProperties>
</file>