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4038" w14:textId="77777777" w:rsidR="00337FB8" w:rsidRPr="00337FB8" w:rsidRDefault="00337FB8" w:rsidP="00337FB8">
      <w:pPr>
        <w:pStyle w:val="Heading1"/>
      </w:pPr>
      <w:r>
        <w:t>Joint</w:t>
      </w:r>
      <w:r w:rsidRPr="001B012C">
        <w:t xml:space="preserve"> statement to clarify the roles and responsibilities for the delivery of health care for people receiving aged care </w:t>
      </w:r>
      <w:proofErr w:type="gramStart"/>
      <w:r w:rsidRPr="001B012C">
        <w:t>services</w:t>
      </w:r>
      <w:proofErr w:type="gramEnd"/>
    </w:p>
    <w:p w14:paraId="488D0B94" w14:textId="4DD2C3B9" w:rsidR="001D3EFB" w:rsidRPr="00337FB8" w:rsidRDefault="00F7595A" w:rsidP="00337FB8">
      <w:pPr>
        <w:pStyle w:val="Heading2"/>
      </w:pPr>
      <w:r w:rsidRPr="00337FB8">
        <w:t>P</w:t>
      </w:r>
      <w:r w:rsidR="001D3EFB" w:rsidRPr="00337FB8">
        <w:t>reamble</w:t>
      </w:r>
    </w:p>
    <w:p w14:paraId="2ECDABB1" w14:textId="5C0E867B" w:rsidR="006A13FA" w:rsidRDefault="0095041D" w:rsidP="00337FB8">
      <w:r w:rsidRPr="0095041D">
        <w:t xml:space="preserve">In 2021, the Royal Commission into Aged Care Quality and Safety recommended a need for </w:t>
      </w:r>
      <w:r w:rsidRPr="00337FB8">
        <w:rPr>
          <w:rStyle w:val="Emphasis"/>
        </w:rPr>
        <w:t>clarification of roles and responsibilities for delivery of health care to people receiving aged care</w:t>
      </w:r>
      <w:r w:rsidRPr="0095041D">
        <w:t xml:space="preserve"> (</w:t>
      </w:r>
      <w:r w:rsidR="00F32942">
        <w:t>r</w:t>
      </w:r>
      <w:r w:rsidRPr="0095041D">
        <w:t>ecommendation 69)</w:t>
      </w:r>
      <w:r w:rsidR="000820C8">
        <w:rPr>
          <w:i/>
          <w:iCs/>
        </w:rPr>
        <w:t xml:space="preserve"> </w:t>
      </w:r>
      <w:r w:rsidR="000820C8">
        <w:t>and improve the access to state and territory health services by people receiving aged care (recommendation 70)</w:t>
      </w:r>
      <w:r w:rsidRPr="0095041D">
        <w:t xml:space="preserve">. </w:t>
      </w:r>
    </w:p>
    <w:p w14:paraId="1692F982" w14:textId="3B52B1EC" w:rsidR="00CF1EE9" w:rsidRDefault="00CF1EE9" w:rsidP="00337FB8">
      <w:r w:rsidRPr="009E11DE">
        <w:rPr>
          <w:shd w:val="clear" w:color="auto" w:fill="FFFFFF" w:themeFill="background1"/>
        </w:rPr>
        <w:t>This document is a statement to clarify the roles and responsibilities to deliver health care for older people</w:t>
      </w:r>
      <w:r w:rsidR="005F6634">
        <w:rPr>
          <w:shd w:val="clear" w:color="auto" w:fill="FFFFFF" w:themeFill="background1"/>
        </w:rPr>
        <w:t xml:space="preserve"> receiving aged care</w:t>
      </w:r>
      <w:r w:rsidR="00214D4F">
        <w:rPr>
          <w:shd w:val="clear" w:color="auto" w:fill="FFFFFF" w:themeFill="background1"/>
        </w:rPr>
        <w:t xml:space="preserve"> and</w:t>
      </w:r>
      <w:r w:rsidRPr="009E11DE">
        <w:rPr>
          <w:shd w:val="clear" w:color="auto" w:fill="FFFFFF" w:themeFill="background1"/>
        </w:rPr>
        <w:t xml:space="preserve"> </w:t>
      </w:r>
      <w:r w:rsidR="00E62B10" w:rsidRPr="009E11DE">
        <w:rPr>
          <w:shd w:val="clear" w:color="auto" w:fill="FFFFFF" w:themeFill="background1"/>
        </w:rPr>
        <w:t xml:space="preserve">to provide </w:t>
      </w:r>
      <w:r w:rsidR="006675EF" w:rsidRPr="009E11DE">
        <w:rPr>
          <w:shd w:val="clear" w:color="auto" w:fill="FFFFFF" w:themeFill="background1"/>
        </w:rPr>
        <w:t xml:space="preserve">policy </w:t>
      </w:r>
      <w:r w:rsidR="00E62B10" w:rsidRPr="009E11DE">
        <w:rPr>
          <w:shd w:val="clear" w:color="auto" w:fill="FFFFFF" w:themeFill="background1"/>
        </w:rPr>
        <w:t>guidance for aged care and health providers</w:t>
      </w:r>
      <w:r w:rsidRPr="009E11DE">
        <w:rPr>
          <w:shd w:val="clear" w:color="auto" w:fill="FFFFFF" w:themeFill="background1"/>
        </w:rPr>
        <w:t xml:space="preserve">. </w:t>
      </w:r>
      <w:r w:rsidR="009E11DE">
        <w:rPr>
          <w:shd w:val="clear" w:color="auto" w:fill="FFFFFF" w:themeFill="background1"/>
        </w:rPr>
        <w:t xml:space="preserve">There are </w:t>
      </w:r>
      <w:proofErr w:type="gramStart"/>
      <w:r w:rsidR="009E11DE">
        <w:rPr>
          <w:shd w:val="clear" w:color="auto" w:fill="FFFFFF" w:themeFill="background1"/>
        </w:rPr>
        <w:t>a number of</w:t>
      </w:r>
      <w:proofErr w:type="gramEnd"/>
      <w:r w:rsidR="009E11DE">
        <w:rPr>
          <w:shd w:val="clear" w:color="auto" w:fill="FFFFFF" w:themeFill="background1"/>
        </w:rPr>
        <w:t xml:space="preserve"> o</w:t>
      </w:r>
      <w:r w:rsidRPr="009E11DE">
        <w:rPr>
          <w:shd w:val="clear" w:color="auto" w:fill="FFFFFF" w:themeFill="background1"/>
        </w:rPr>
        <w:t xml:space="preserve">ther </w:t>
      </w:r>
      <w:hyperlink r:id="rId11" w:history="1">
        <w:r w:rsidRPr="009E11DE">
          <w:rPr>
            <w:rStyle w:val="Hyperlink"/>
            <w:shd w:val="clear" w:color="auto" w:fill="FFFFFF" w:themeFill="background1"/>
          </w:rPr>
          <w:t>aged care reforms</w:t>
        </w:r>
      </w:hyperlink>
      <w:r w:rsidRPr="009E11DE">
        <w:rPr>
          <w:shd w:val="clear" w:color="auto" w:fill="FFFFFF" w:themeFill="background1"/>
        </w:rPr>
        <w:t xml:space="preserve"> </w:t>
      </w:r>
      <w:r w:rsidR="009E11DE">
        <w:rPr>
          <w:shd w:val="clear" w:color="auto" w:fill="FFFFFF" w:themeFill="background1"/>
        </w:rPr>
        <w:t xml:space="preserve">underway that impact funding, workforce development and improving quality of care. </w:t>
      </w:r>
    </w:p>
    <w:p w14:paraId="166E9F21" w14:textId="6E807702" w:rsidR="00195C39" w:rsidRDefault="006A13FA" w:rsidP="00337FB8">
      <w:r>
        <w:t xml:space="preserve">The </w:t>
      </w:r>
      <w:r w:rsidRPr="00337FB8">
        <w:rPr>
          <w:rStyle w:val="Strong"/>
        </w:rPr>
        <w:t>roles and responsibilities of the</w:t>
      </w:r>
      <w:r w:rsidR="006F28D2" w:rsidRPr="00337FB8">
        <w:rPr>
          <w:rStyle w:val="Strong"/>
        </w:rPr>
        <w:t xml:space="preserve"> </w:t>
      </w:r>
      <w:r w:rsidR="00972888" w:rsidRPr="00337FB8">
        <w:rPr>
          <w:rStyle w:val="Strong"/>
        </w:rPr>
        <w:t>Australian Government</w:t>
      </w:r>
      <w:r w:rsidRPr="00337FB8">
        <w:rPr>
          <w:rStyle w:val="Strong"/>
        </w:rPr>
        <w:t xml:space="preserve">, </w:t>
      </w:r>
      <w:r w:rsidR="00972888" w:rsidRPr="00337FB8">
        <w:rPr>
          <w:rStyle w:val="Strong"/>
        </w:rPr>
        <w:t>s</w:t>
      </w:r>
      <w:r w:rsidRPr="00337FB8">
        <w:rPr>
          <w:rStyle w:val="Strong"/>
        </w:rPr>
        <w:t xml:space="preserve">tate and </w:t>
      </w:r>
      <w:r w:rsidR="00972888" w:rsidRPr="00337FB8">
        <w:rPr>
          <w:rStyle w:val="Strong"/>
        </w:rPr>
        <w:t>t</w:t>
      </w:r>
      <w:r w:rsidRPr="00337FB8">
        <w:rPr>
          <w:rStyle w:val="Strong"/>
        </w:rPr>
        <w:t>erritory governments</w:t>
      </w:r>
      <w:r>
        <w:t xml:space="preserve"> in the health system, and at the interface between the health and aged care systems, </w:t>
      </w:r>
      <w:r w:rsidR="00DE6C99">
        <w:t xml:space="preserve"> are </w:t>
      </w:r>
      <w:r>
        <w:t xml:space="preserve">set out in the </w:t>
      </w:r>
      <w:hyperlink r:id="rId12" w:history="1">
        <w:r w:rsidRPr="00CF1EE9">
          <w:rPr>
            <w:rStyle w:val="Hyperlink"/>
            <w:i/>
            <w:iCs/>
          </w:rPr>
          <w:t xml:space="preserve">Addendum to National Health Reform Agreement </w:t>
        </w:r>
        <w:r w:rsidR="00463065" w:rsidRPr="00CF1EE9">
          <w:rPr>
            <w:rStyle w:val="Hyperlink"/>
            <w:i/>
            <w:iCs/>
          </w:rPr>
          <w:t xml:space="preserve">(NHRA) </w:t>
        </w:r>
        <w:r w:rsidRPr="00CF1EE9">
          <w:rPr>
            <w:rStyle w:val="Hyperlink"/>
            <w:i/>
            <w:iCs/>
          </w:rPr>
          <w:t>2020-2025</w:t>
        </w:r>
      </w:hyperlink>
      <w:r w:rsidR="00F46261">
        <w:rPr>
          <w:rStyle w:val="FootnoteReference"/>
          <w:i/>
          <w:iCs/>
        </w:rPr>
        <w:footnoteReference w:id="2"/>
      </w:r>
      <w:r>
        <w:t xml:space="preserve">. </w:t>
      </w:r>
    </w:p>
    <w:p w14:paraId="4413E9D4" w14:textId="5F633859" w:rsidR="00B810DF" w:rsidRPr="00721FB4" w:rsidRDefault="00B810DF" w:rsidP="00337FB8">
      <w:r w:rsidRPr="00721FB4">
        <w:t>The four strategic priorities of the NHRA are:</w:t>
      </w:r>
    </w:p>
    <w:p w14:paraId="7F5CF9EE" w14:textId="0AB76557" w:rsidR="00B810DF" w:rsidRPr="0064507B" w:rsidRDefault="00F7595A" w:rsidP="00337FB8">
      <w:pPr>
        <w:pStyle w:val="ListBullet"/>
      </w:pPr>
      <w:r>
        <w:t>i</w:t>
      </w:r>
      <w:r w:rsidR="00B810DF" w:rsidRPr="0064507B">
        <w:t>mproving efficiency and ensuring financial sustainability of the health system</w:t>
      </w:r>
    </w:p>
    <w:p w14:paraId="33BF639B" w14:textId="38B7726E" w:rsidR="00B810DF" w:rsidRPr="00337FB8" w:rsidRDefault="00F7595A" w:rsidP="00337FB8">
      <w:pPr>
        <w:pStyle w:val="ListBullet"/>
      </w:pPr>
      <w:r w:rsidRPr="00337FB8">
        <w:t>d</w:t>
      </w:r>
      <w:r w:rsidR="00B810DF" w:rsidRPr="00337FB8">
        <w:t>elivering safe, high-quality care in the right place at the right time</w:t>
      </w:r>
    </w:p>
    <w:p w14:paraId="655EB81B" w14:textId="70ADA5CC" w:rsidR="00B810DF" w:rsidRPr="00337FB8" w:rsidRDefault="00F7595A" w:rsidP="00337FB8">
      <w:pPr>
        <w:pStyle w:val="ListBullet"/>
      </w:pPr>
      <w:r w:rsidRPr="00337FB8">
        <w:t>p</w:t>
      </w:r>
      <w:r w:rsidR="00B810DF" w:rsidRPr="00337FB8">
        <w:t xml:space="preserve">rioritising prevention and helping people manage their health across their </w:t>
      </w:r>
      <w:proofErr w:type="gramStart"/>
      <w:r w:rsidR="00B810DF" w:rsidRPr="00337FB8">
        <w:t>lifetime</w:t>
      </w:r>
      <w:proofErr w:type="gramEnd"/>
    </w:p>
    <w:p w14:paraId="3CF23381" w14:textId="50BE7A05" w:rsidR="00B810DF" w:rsidRPr="00337FB8" w:rsidRDefault="00F7595A" w:rsidP="00337FB8">
      <w:pPr>
        <w:pStyle w:val="ListBullet"/>
      </w:pPr>
      <w:r w:rsidRPr="00337FB8">
        <w:t>d</w:t>
      </w:r>
      <w:r w:rsidR="00B810DF" w:rsidRPr="00337FB8">
        <w:t>riving best practice and performance using data and research</w:t>
      </w:r>
      <w:r w:rsidR="00DC6E8D" w:rsidRPr="00337FB8">
        <w:t>.</w:t>
      </w:r>
    </w:p>
    <w:p w14:paraId="19AF86B9" w14:textId="4224226F" w:rsidR="00B94C5C" w:rsidRDefault="00B810DF" w:rsidP="00337FB8">
      <w:r>
        <w:t xml:space="preserve">In addition, </w:t>
      </w:r>
      <w:r w:rsidR="00463065">
        <w:t>Schedule F13 of the NHRA states</w:t>
      </w:r>
      <w:r w:rsidR="00B94C5C">
        <w:t>:</w:t>
      </w:r>
    </w:p>
    <w:p w14:paraId="260BDC16" w14:textId="7B1D8C06" w:rsidR="00AB4CE9" w:rsidRPr="00337FB8" w:rsidRDefault="00B94C5C" w:rsidP="00337FB8">
      <w:pPr>
        <w:rPr>
          <w:rFonts w:asciiTheme="minorHAnsi" w:hAnsiTheme="minorHAnsi"/>
        </w:rPr>
      </w:pPr>
      <w:r w:rsidRPr="00337FB8">
        <w:t xml:space="preserve">The Parties recognise that issues may arise at the interface between the health, primary care, aged </w:t>
      </w:r>
      <w:proofErr w:type="gramStart"/>
      <w:r w:rsidRPr="00337FB8">
        <w:t>care</w:t>
      </w:r>
      <w:proofErr w:type="gramEnd"/>
      <w:r w:rsidRPr="00337FB8">
        <w:t xml:space="preserve"> and disability systems from time to time. To appropriately identify and understand such issues, Parties agree to:</w:t>
      </w:r>
    </w:p>
    <w:p w14:paraId="333AC1A5" w14:textId="00F34C1E" w:rsidR="00B94C5C" w:rsidRPr="00337FB8" w:rsidRDefault="00B94C5C" w:rsidP="00337FB8">
      <w:pPr>
        <w:pStyle w:val="ListContinue"/>
      </w:pPr>
      <w:r w:rsidRPr="00337FB8">
        <w:t xml:space="preserve">monitor and report on the effect of any policy or significant service change in one system, on services in other </w:t>
      </w:r>
      <w:proofErr w:type="gramStart"/>
      <w:r w:rsidRPr="00337FB8">
        <w:t>systems</w:t>
      </w:r>
      <w:proofErr w:type="gramEnd"/>
    </w:p>
    <w:p w14:paraId="7023A2FE" w14:textId="1216B176" w:rsidR="00B94C5C" w:rsidRPr="00337FB8" w:rsidRDefault="00B94C5C" w:rsidP="00337FB8">
      <w:pPr>
        <w:pStyle w:val="ListContinue"/>
      </w:pPr>
      <w:r w:rsidRPr="00337FB8">
        <w:t xml:space="preserve">support the health, primary care, aged care and disability systems to operate together </w:t>
      </w:r>
      <w:proofErr w:type="gramStart"/>
      <w:r w:rsidRPr="00337FB8">
        <w:t>effectively</w:t>
      </w:r>
      <w:proofErr w:type="gramEnd"/>
    </w:p>
    <w:p w14:paraId="2230D220" w14:textId="7DC146F5" w:rsidR="00B94C5C" w:rsidRPr="00337FB8" w:rsidRDefault="00B94C5C" w:rsidP="00337FB8">
      <w:pPr>
        <w:pStyle w:val="ListContinue"/>
      </w:pPr>
      <w:r w:rsidRPr="00337FB8">
        <w:t xml:space="preserve">monitor and analyse interface performance using performance indicators and data developed and collected under clause F12 to identify new issues and manage known </w:t>
      </w:r>
      <w:proofErr w:type="gramStart"/>
      <w:r w:rsidRPr="00337FB8">
        <w:t>issues</w:t>
      </w:r>
      <w:proofErr w:type="gramEnd"/>
    </w:p>
    <w:p w14:paraId="51785F44" w14:textId="03C94EF8" w:rsidR="00B94C5C" w:rsidRPr="00337FB8" w:rsidRDefault="00B94C5C" w:rsidP="00337FB8">
      <w:pPr>
        <w:pStyle w:val="ListContinue"/>
      </w:pPr>
      <w:r w:rsidRPr="00337FB8">
        <w:t xml:space="preserve">proactively address identified service gaps in a timely manner that minimises risk to </w:t>
      </w:r>
      <w:proofErr w:type="gramStart"/>
      <w:r w:rsidRPr="00337FB8">
        <w:t>individuals</w:t>
      </w:r>
      <w:proofErr w:type="gramEnd"/>
    </w:p>
    <w:p w14:paraId="4F107EF8" w14:textId="2A40066A" w:rsidR="00CF1EE9" w:rsidRPr="00337FB8" w:rsidRDefault="00B94C5C" w:rsidP="00337FB8">
      <w:pPr>
        <w:pStyle w:val="ListContinue"/>
      </w:pPr>
      <w:r w:rsidRPr="00337FB8">
        <w:t>measure effectiveness of system and interface improvement strategies.</w:t>
      </w:r>
    </w:p>
    <w:p w14:paraId="00C7AB52" w14:textId="6596514C" w:rsidR="003D7D84" w:rsidRDefault="00B94C5C" w:rsidP="00337FB8">
      <w:r w:rsidRPr="00B94C5C">
        <w:t xml:space="preserve">The </w:t>
      </w:r>
      <w:r w:rsidRPr="00337FB8">
        <w:rPr>
          <w:rStyle w:val="Strong"/>
        </w:rPr>
        <w:t>roles and responsibilities of aged care providers</w:t>
      </w:r>
      <w:r w:rsidRPr="00B94C5C">
        <w:t xml:space="preserve"> are set out in the</w:t>
      </w:r>
      <w:r w:rsidR="00972888">
        <w:t xml:space="preserve"> </w:t>
      </w:r>
      <w:r w:rsidR="00972888" w:rsidRPr="00337FB8">
        <w:rPr>
          <w:rStyle w:val="Emphasis"/>
        </w:rPr>
        <w:t>Aged Care Act 1997</w:t>
      </w:r>
      <w:r w:rsidR="00972888">
        <w:t>, and the various Principles made under section 96-1 of the Aged Care Act</w:t>
      </w:r>
      <w:r w:rsidR="009E0B96">
        <w:t xml:space="preserve">, in particular Schedule 1 of the </w:t>
      </w:r>
      <w:r w:rsidR="001E30B1">
        <w:t>Quality-of-Care</w:t>
      </w:r>
      <w:r w:rsidR="009E0B96">
        <w:t xml:space="preserve"> Principles 2014</w:t>
      </w:r>
      <w:r w:rsidR="009E0B96">
        <w:rPr>
          <w:rStyle w:val="FootnoteReference"/>
        </w:rPr>
        <w:footnoteReference w:id="3"/>
      </w:r>
      <w:r w:rsidR="009E0B96">
        <w:t xml:space="preserve"> (the Schedule)</w:t>
      </w:r>
      <w:r w:rsidR="00972888">
        <w:t>.</w:t>
      </w:r>
      <w:r w:rsidRPr="00B94C5C">
        <w:t xml:space="preserve"> </w:t>
      </w:r>
      <w:r w:rsidR="0082154D">
        <w:t>S</w:t>
      </w:r>
      <w:r w:rsidR="00E32123">
        <w:t xml:space="preserve">trengthened </w:t>
      </w:r>
      <w:r w:rsidR="00972888">
        <w:t>Aged Care Quality Standards (</w:t>
      </w:r>
      <w:r w:rsidR="003D7D84">
        <w:t>ACQS</w:t>
      </w:r>
      <w:r w:rsidR="00972888">
        <w:t>)</w:t>
      </w:r>
      <w:r w:rsidR="00E32123">
        <w:t xml:space="preserve"> will be implemented</w:t>
      </w:r>
      <w:r w:rsidR="003D7D84">
        <w:t xml:space="preserve"> with</w:t>
      </w:r>
      <w:r w:rsidR="00DE6C99">
        <w:t xml:space="preserve"> the</w:t>
      </w:r>
      <w:r w:rsidR="003D7D84">
        <w:t xml:space="preserve"> introduction of the new Aged Care Act</w:t>
      </w:r>
      <w:r w:rsidR="00746045">
        <w:t>, including a new standard for clinical care</w:t>
      </w:r>
      <w:r w:rsidR="003D7D84">
        <w:t>.</w:t>
      </w:r>
      <w:r w:rsidR="003D7D84">
        <w:rPr>
          <w:rStyle w:val="FootnoteReference"/>
        </w:rPr>
        <w:footnoteReference w:id="4"/>
      </w:r>
      <w:r w:rsidR="003D7D84">
        <w:t xml:space="preserve"> </w:t>
      </w:r>
    </w:p>
    <w:p w14:paraId="4BE7AF10" w14:textId="3A79D5A4" w:rsidR="00F01313" w:rsidRDefault="00512810" w:rsidP="00337FB8">
      <w:r>
        <w:t>The above referenced agreement, legislation, and regulations</w:t>
      </w:r>
      <w:r w:rsidR="00B94C5C">
        <w:t>,</w:t>
      </w:r>
      <w:r w:rsidR="00113CA5">
        <w:t xml:space="preserve"> </w:t>
      </w:r>
      <w:r w:rsidR="00113CA5" w:rsidRPr="00B94C5C">
        <w:t>however,</w:t>
      </w:r>
      <w:r w:rsidR="00B94C5C" w:rsidRPr="00B94C5C">
        <w:t xml:space="preserve"> do not articulate and specify the level of clinical care </w:t>
      </w:r>
      <w:r w:rsidR="00B94C5C">
        <w:t xml:space="preserve">governments and </w:t>
      </w:r>
      <w:r w:rsidR="00B94C5C" w:rsidRPr="00B94C5C">
        <w:t>providers must provide.</w:t>
      </w:r>
      <w:r w:rsidR="00B94C5C">
        <w:t xml:space="preserve"> </w:t>
      </w:r>
      <w:r w:rsidR="005B194B">
        <w:t>T</w:t>
      </w:r>
      <w:r w:rsidR="00C00909">
        <w:t xml:space="preserve">o achieve further clarity and provide a </w:t>
      </w:r>
      <w:r w:rsidR="00C00909" w:rsidRPr="00337FB8">
        <w:t>succinct</w:t>
      </w:r>
      <w:r w:rsidR="00C00909">
        <w:t xml:space="preserve"> summary of </w:t>
      </w:r>
      <w:r w:rsidR="00F84A91">
        <w:t>responsibilit</w:t>
      </w:r>
      <w:r w:rsidR="005E32CF">
        <w:t>ies</w:t>
      </w:r>
      <w:r w:rsidR="00C00909">
        <w:t xml:space="preserve">, </w:t>
      </w:r>
      <w:r w:rsidR="00012399">
        <w:t>this clarification statement</w:t>
      </w:r>
      <w:r w:rsidR="0095041D">
        <w:t xml:space="preserve"> </w:t>
      </w:r>
      <w:r w:rsidR="00A94EFA">
        <w:t>outlines</w:t>
      </w:r>
      <w:r w:rsidR="00F01313">
        <w:t>:</w:t>
      </w:r>
    </w:p>
    <w:p w14:paraId="064AD134" w14:textId="7A48A065" w:rsidR="00F01313" w:rsidRDefault="00A94EFA" w:rsidP="00337FB8">
      <w:pPr>
        <w:pStyle w:val="ListBullet"/>
      </w:pPr>
      <w:r>
        <w:lastRenderedPageBreak/>
        <w:t xml:space="preserve">the key </w:t>
      </w:r>
      <w:r w:rsidR="0095041D" w:rsidRPr="00337FB8">
        <w:rPr>
          <w:rStyle w:val="Strong"/>
        </w:rPr>
        <w:t>Principles</w:t>
      </w:r>
      <w:r w:rsidRPr="00F84A91">
        <w:rPr>
          <w:b/>
          <w:bCs/>
        </w:rPr>
        <w:t xml:space="preserve"> </w:t>
      </w:r>
      <w:r>
        <w:t>informing roles and responsibilities of governments and providers</w:t>
      </w:r>
      <w:r w:rsidR="00ED5DC5">
        <w:t>, informed by the</w:t>
      </w:r>
      <w:r w:rsidR="00DE6C99">
        <w:t xml:space="preserve"> </w:t>
      </w:r>
      <w:r w:rsidR="004B53CF">
        <w:t>NHRA, Medicare Principles</w:t>
      </w:r>
      <w:r w:rsidR="00CF1EE9">
        <w:rPr>
          <w:rStyle w:val="FootnoteReference"/>
        </w:rPr>
        <w:footnoteReference w:id="5"/>
      </w:r>
      <w:r w:rsidR="009E0B96">
        <w:t>, the Schedule</w:t>
      </w:r>
      <w:r w:rsidR="00ED5DC5">
        <w:t xml:space="preserve"> and </w:t>
      </w:r>
      <w:r w:rsidR="009E0B96">
        <w:t xml:space="preserve">the </w:t>
      </w:r>
      <w:r w:rsidR="0082154D">
        <w:t>ACQS</w:t>
      </w:r>
    </w:p>
    <w:p w14:paraId="2ED75109" w14:textId="7CFB43A9" w:rsidR="00F37CC9" w:rsidRDefault="00A94EFA" w:rsidP="00337FB8">
      <w:pPr>
        <w:pStyle w:val="ListBullet"/>
      </w:pPr>
      <w:r>
        <w:t xml:space="preserve">the practical application of those Principles through </w:t>
      </w:r>
      <w:r w:rsidRPr="00337FB8">
        <w:rPr>
          <w:rStyle w:val="Strong"/>
        </w:rPr>
        <w:t>delineation of clinical care</w:t>
      </w:r>
      <w:r w:rsidR="00AE182C" w:rsidRPr="00337FB8">
        <w:rPr>
          <w:rStyle w:val="Strong"/>
        </w:rPr>
        <w:t>,</w:t>
      </w:r>
      <w:r w:rsidR="00AE182C">
        <w:t xml:space="preserve"> by outlining </w:t>
      </w:r>
      <w:r w:rsidR="005E32CF">
        <w:t xml:space="preserve">when </w:t>
      </w:r>
      <w:r w:rsidR="00DF6D99">
        <w:t xml:space="preserve">care </w:t>
      </w:r>
      <w:r w:rsidR="00F01313">
        <w:t xml:space="preserve">provided to an </w:t>
      </w:r>
      <w:r w:rsidR="003926CF">
        <w:t>older person</w:t>
      </w:r>
      <w:r w:rsidR="00F01313">
        <w:t xml:space="preserve"> is </w:t>
      </w:r>
      <w:r w:rsidR="005E32CF">
        <w:t xml:space="preserve">predominantly </w:t>
      </w:r>
      <w:r w:rsidR="00F01313">
        <w:t xml:space="preserve">the role of </w:t>
      </w:r>
      <w:r w:rsidR="00AE182C">
        <w:t>the Commonwealth, State</w:t>
      </w:r>
      <w:r w:rsidR="00790A9A">
        <w:t>s</w:t>
      </w:r>
      <w:r w:rsidR="00AE182C">
        <w:t xml:space="preserve"> and </w:t>
      </w:r>
      <w:r w:rsidR="00790A9A">
        <w:t>Territories</w:t>
      </w:r>
      <w:r w:rsidR="00AE182C">
        <w:t xml:space="preserve">, or </w:t>
      </w:r>
      <w:r w:rsidR="00ED5DC5">
        <w:t xml:space="preserve">an </w:t>
      </w:r>
      <w:r w:rsidR="00F01313">
        <w:t>aged care provider</w:t>
      </w:r>
      <w:r w:rsidR="00DF6D99">
        <w:t>.</w:t>
      </w:r>
    </w:p>
    <w:p w14:paraId="0A5E0410" w14:textId="536D92DB" w:rsidR="000B5972" w:rsidRDefault="00AE182C" w:rsidP="00337FB8">
      <w:r>
        <w:t xml:space="preserve">It is important to acknowledge </w:t>
      </w:r>
      <w:r w:rsidR="00815423">
        <w:t>that clear delineation is not always possible or desirable, as service providers and funders have many overlapping roles and responsibilities</w:t>
      </w:r>
      <w:r w:rsidR="0082154D">
        <w:t>.</w:t>
      </w:r>
      <w:r w:rsidR="00394902">
        <w:t xml:space="preserve"> </w:t>
      </w:r>
    </w:p>
    <w:p w14:paraId="673F367C" w14:textId="657D3AB8" w:rsidR="00B810DF" w:rsidRDefault="00B810DF" w:rsidP="00337FB8">
      <w:pPr>
        <w:pStyle w:val="Heading2"/>
      </w:pPr>
      <w:r>
        <w:t>Purpose</w:t>
      </w:r>
    </w:p>
    <w:p w14:paraId="220935B1" w14:textId="0F95E936" w:rsidR="00B810DF" w:rsidRDefault="00B810DF" w:rsidP="00337FB8">
      <w:r>
        <w:t xml:space="preserve">The purpose of </w:t>
      </w:r>
      <w:r w:rsidRPr="00337FB8">
        <w:t>this</w:t>
      </w:r>
      <w:r>
        <w:t xml:space="preserve"> document is to increase clarity among the</w:t>
      </w:r>
      <w:r w:rsidR="00602C23">
        <w:t xml:space="preserve"> health and aged care</w:t>
      </w:r>
      <w:r>
        <w:t xml:space="preserve"> sectors and identify roles and responsibilities for</w:t>
      </w:r>
      <w:r w:rsidR="00ED5DC5">
        <w:t xml:space="preserve"> the delivery of</w:t>
      </w:r>
      <w:r>
        <w:t xml:space="preserve"> healt</w:t>
      </w:r>
      <w:r w:rsidR="00306DC0">
        <w:t xml:space="preserve">h and </w:t>
      </w:r>
      <w:r>
        <w:t>aged care</w:t>
      </w:r>
      <w:r w:rsidR="00ED5DC5">
        <w:t xml:space="preserve"> services across the interface. This document</w:t>
      </w:r>
      <w:r w:rsidR="009D7D84">
        <w:t xml:space="preserve"> </w:t>
      </w:r>
      <w:r>
        <w:t>aim</w:t>
      </w:r>
      <w:r w:rsidR="00ED5DC5">
        <w:t>s</w:t>
      </w:r>
      <w:r>
        <w:t xml:space="preserve"> to:</w:t>
      </w:r>
    </w:p>
    <w:p w14:paraId="565D7EAC" w14:textId="1C90DDA3" w:rsidR="00B810DF" w:rsidRPr="0064507B" w:rsidRDefault="00B810DF" w:rsidP="00337FB8">
      <w:pPr>
        <w:pStyle w:val="ListBullet"/>
      </w:pPr>
      <w:r>
        <w:t>i</w:t>
      </w:r>
      <w:r w:rsidRPr="0064507B">
        <w:t>mprove the health outcomes for people receiving aged care</w:t>
      </w:r>
      <w:r w:rsidR="00AE2A2F">
        <w:t xml:space="preserve"> </w:t>
      </w:r>
      <w:r w:rsidR="00ED5DC5">
        <w:t xml:space="preserve">through timely access and appropriate health care </w:t>
      </w:r>
      <w:proofErr w:type="gramStart"/>
      <w:r w:rsidR="00ED5DC5">
        <w:t>services</w:t>
      </w:r>
      <w:proofErr w:type="gramEnd"/>
    </w:p>
    <w:p w14:paraId="5BD16F3D" w14:textId="71F2BAF0" w:rsidR="00B810DF" w:rsidRPr="0064507B" w:rsidRDefault="00566072" w:rsidP="00337FB8">
      <w:pPr>
        <w:pStyle w:val="ListBullet"/>
      </w:pPr>
      <w:r>
        <w:t xml:space="preserve">support </w:t>
      </w:r>
      <w:r w:rsidR="00B810DF" w:rsidRPr="0064507B">
        <w:t xml:space="preserve">system stewards </w:t>
      </w:r>
      <w:r w:rsidR="00ED5DC5">
        <w:t xml:space="preserve">to understand responsibilities and </w:t>
      </w:r>
      <w:r w:rsidR="00B810DF" w:rsidRPr="0064507B">
        <w:t>coordinate their</w:t>
      </w:r>
      <w:r w:rsidR="00ED5DC5">
        <w:t xml:space="preserve"> services</w:t>
      </w:r>
      <w:r w:rsidR="00B810DF" w:rsidRPr="0064507B">
        <w:t xml:space="preserve"> to maximise the benefit to the</w:t>
      </w:r>
      <w:r w:rsidR="00ED5DC5">
        <w:t xml:space="preserve"> </w:t>
      </w:r>
      <w:proofErr w:type="gramStart"/>
      <w:r w:rsidR="00ED5DC5">
        <w:t>community</w:t>
      </w:r>
      <w:proofErr w:type="gramEnd"/>
    </w:p>
    <w:p w14:paraId="0CA56070" w14:textId="07FA8AE4" w:rsidR="00B810DF" w:rsidRPr="0064507B" w:rsidRDefault="00B810DF" w:rsidP="00337FB8">
      <w:pPr>
        <w:pStyle w:val="ListBullet"/>
      </w:pPr>
      <w:r w:rsidRPr="0064507B">
        <w:t xml:space="preserve">ensure the respective and joint roles and responsibilities of </w:t>
      </w:r>
      <w:r w:rsidR="00C40CD5">
        <w:t xml:space="preserve">system leaders and service providers are </w:t>
      </w:r>
      <w:r w:rsidRPr="0064507B">
        <w:t>clearly defined,</w:t>
      </w:r>
      <w:r w:rsidR="00C40CD5">
        <w:t xml:space="preserve"> to support effective clinical health care for people receiving aged </w:t>
      </w:r>
      <w:proofErr w:type="gramStart"/>
      <w:r w:rsidR="00C40CD5">
        <w:t>care</w:t>
      </w:r>
      <w:proofErr w:type="gramEnd"/>
      <w:r>
        <w:t xml:space="preserve"> </w:t>
      </w:r>
    </w:p>
    <w:p w14:paraId="56DB6855" w14:textId="31AF107D" w:rsidR="00C40CD5" w:rsidRPr="00C40CD5" w:rsidRDefault="00B810DF" w:rsidP="00337FB8">
      <w:pPr>
        <w:pStyle w:val="ListBullet"/>
      </w:pPr>
      <w:r w:rsidRPr="00306DC0">
        <w:t xml:space="preserve">support future reform and transformation </w:t>
      </w:r>
      <w:r w:rsidR="00306DC0" w:rsidRPr="00306DC0">
        <w:t>of health and</w:t>
      </w:r>
      <w:r w:rsidRPr="00306DC0">
        <w:t xml:space="preserve"> aged care</w:t>
      </w:r>
      <w:r w:rsidR="00306DC0" w:rsidRPr="00306DC0">
        <w:t xml:space="preserve"> service provision</w:t>
      </w:r>
      <w:r w:rsidR="00964580">
        <w:t xml:space="preserve"> for older people</w:t>
      </w:r>
    </w:p>
    <w:p w14:paraId="7A68C36D" w14:textId="1D79EB76" w:rsidR="00AD5CF3" w:rsidRPr="00AD5CF3" w:rsidRDefault="00C40CD5" w:rsidP="00337FB8">
      <w:pPr>
        <w:pStyle w:val="ListBullet"/>
      </w:pPr>
      <w:r>
        <w:t xml:space="preserve">recognise the increasing complexity of care delivery that is evolving through increased life </w:t>
      </w:r>
      <w:proofErr w:type="gramStart"/>
      <w:r>
        <w:t>expectancy</w:t>
      </w:r>
      <w:proofErr w:type="gramEnd"/>
    </w:p>
    <w:p w14:paraId="41065FBA" w14:textId="3074967A" w:rsidR="00B810DF" w:rsidRPr="00261F95" w:rsidRDefault="00BE5A62" w:rsidP="00337FB8">
      <w:pPr>
        <w:pStyle w:val="ListBullet"/>
      </w:pPr>
      <w:r w:rsidRPr="00261F95">
        <w:t>s</w:t>
      </w:r>
      <w:r w:rsidR="00AD5CF3" w:rsidRPr="00261F95">
        <w:t xml:space="preserve">upport </w:t>
      </w:r>
      <w:r w:rsidRPr="00261F95">
        <w:t>other instruments</w:t>
      </w:r>
      <w:r w:rsidR="00B1390B" w:rsidRPr="00261F95">
        <w:t xml:space="preserve"> (</w:t>
      </w:r>
      <w:r w:rsidR="00A8333C" w:rsidRPr="00261F95">
        <w:t>including but not limited to,</w:t>
      </w:r>
      <w:r w:rsidR="00B1390B" w:rsidRPr="00261F95">
        <w:t xml:space="preserve"> standards, regulation, and reporting)</w:t>
      </w:r>
      <w:r w:rsidRPr="00261F95">
        <w:t xml:space="preserve"> to </w:t>
      </w:r>
      <w:r w:rsidR="00AD5CF3" w:rsidRPr="00261F95">
        <w:t xml:space="preserve">drive accountability for </w:t>
      </w:r>
      <w:r w:rsidRPr="00261F95">
        <w:t xml:space="preserve">the </w:t>
      </w:r>
      <w:r w:rsidR="00AD5CF3" w:rsidRPr="00261F95">
        <w:t xml:space="preserve">delivery of healthcare </w:t>
      </w:r>
      <w:r w:rsidRPr="00261F95">
        <w:t>for older people</w:t>
      </w:r>
      <w:r w:rsidR="00747231" w:rsidRPr="00261F95">
        <w:t>.</w:t>
      </w:r>
    </w:p>
    <w:p w14:paraId="30BCCD3A" w14:textId="6F05D3CF" w:rsidR="00FB477A" w:rsidRPr="00EB5FE1" w:rsidRDefault="00C92216" w:rsidP="00337FB8">
      <w:r w:rsidRPr="00576E48">
        <w:t xml:space="preserve">This document </w:t>
      </w:r>
      <w:r w:rsidR="00AD6CB6">
        <w:t>reflects</w:t>
      </w:r>
      <w:r w:rsidRPr="00576E48">
        <w:t xml:space="preserve"> how the </w:t>
      </w:r>
      <w:r w:rsidR="00E62B10">
        <w:t xml:space="preserve">roles </w:t>
      </w:r>
      <w:r w:rsidRPr="00337FB8">
        <w:t>and</w:t>
      </w:r>
      <w:r w:rsidRPr="00576E48">
        <w:t xml:space="preserve"> responsibilities are captured in other </w:t>
      </w:r>
      <w:r w:rsidR="00AB4CE9">
        <w:t xml:space="preserve">   </w:t>
      </w:r>
      <w:r w:rsidRPr="00576E48">
        <w:t xml:space="preserve">agreements, legislation, and regulations. </w:t>
      </w:r>
      <w:r w:rsidR="00FB477A" w:rsidRPr="00576E48">
        <w:t xml:space="preserve">While it does not have any legal or enforceable </w:t>
      </w:r>
      <w:r w:rsidRPr="00576E48">
        <w:t>authority</w:t>
      </w:r>
      <w:r w:rsidR="00FB477A" w:rsidRPr="00576E48">
        <w:t xml:space="preserve">, it will complement </w:t>
      </w:r>
      <w:r w:rsidRPr="00576E48">
        <w:t xml:space="preserve">existing powers in </w:t>
      </w:r>
      <w:r w:rsidR="00FB477A" w:rsidRPr="00576E48">
        <w:t>these instruments.</w:t>
      </w:r>
    </w:p>
    <w:p w14:paraId="20B46765" w14:textId="6B49E8AB" w:rsidR="006343E2" w:rsidRDefault="00500939" w:rsidP="00337FB8">
      <w:pPr>
        <w:pStyle w:val="Heading2"/>
      </w:pPr>
      <w:r>
        <w:t>Key</w:t>
      </w:r>
      <w:r w:rsidR="00721646" w:rsidRPr="00A17A0C">
        <w:t xml:space="preserve"> </w:t>
      </w:r>
      <w:r w:rsidR="006343E2" w:rsidRPr="00A17A0C">
        <w:t>Principles</w:t>
      </w:r>
    </w:p>
    <w:p w14:paraId="7AABD9D7" w14:textId="4D9BA73B" w:rsidR="00C40CD5" w:rsidRPr="000C11AB" w:rsidRDefault="00C40CD5" w:rsidP="000C11AB">
      <w:r w:rsidRPr="000C11AB">
        <w:t>The following principles underpin the delivery of clinical health care for people receiving aged care services:</w:t>
      </w:r>
    </w:p>
    <w:p w14:paraId="603F6BB8" w14:textId="3601A0D5" w:rsidR="005202EF" w:rsidRPr="00203E70" w:rsidRDefault="005202EF" w:rsidP="00337FB8">
      <w:pPr>
        <w:pStyle w:val="ListNumber"/>
      </w:pPr>
      <w:r>
        <w:t xml:space="preserve">The Commonwealth’s responsibility for aged care includes </w:t>
      </w:r>
      <w:r w:rsidR="00742C37">
        <w:t>funding to</w:t>
      </w:r>
      <w:r w:rsidR="00D7026F">
        <w:t xml:space="preserve"> </w:t>
      </w:r>
      <w:r>
        <w:t>support</w:t>
      </w:r>
      <w:r w:rsidR="00D7026F">
        <w:t xml:space="preserve"> the delivery of</w:t>
      </w:r>
      <w:r>
        <w:t xml:space="preserve"> aged care </w:t>
      </w:r>
      <w:r w:rsidR="00D7026F">
        <w:t xml:space="preserve">services consistent with the Quality Standards and Principles. </w:t>
      </w:r>
      <w:r w:rsidR="00FB477A">
        <w:t xml:space="preserve">This includes </w:t>
      </w:r>
      <w:r>
        <w:t xml:space="preserve">where there is an interface with the health services provided by </w:t>
      </w:r>
      <w:r w:rsidR="00512810">
        <w:t>S</w:t>
      </w:r>
      <w:r>
        <w:t xml:space="preserve">tate and </w:t>
      </w:r>
      <w:r w:rsidR="00512810">
        <w:t>T</w:t>
      </w:r>
      <w:r>
        <w:t xml:space="preserve">erritory </w:t>
      </w:r>
      <w:r w:rsidR="00B21FAA">
        <w:t>g</w:t>
      </w:r>
      <w:r>
        <w:t>overnments.</w:t>
      </w:r>
    </w:p>
    <w:p w14:paraId="591935DF" w14:textId="05A480B1" w:rsidR="00D72781" w:rsidRPr="00C97180" w:rsidRDefault="004E49D1" w:rsidP="00337FB8">
      <w:pPr>
        <w:pStyle w:val="ListNumber"/>
        <w:rPr>
          <w:color w:val="000000" w:themeColor="text1"/>
        </w:rPr>
      </w:pPr>
      <w:r>
        <w:t>T</w:t>
      </w:r>
      <w:r w:rsidR="00D72781">
        <w:t xml:space="preserve">he Commonwealth’s regulation of aged care </w:t>
      </w:r>
      <w:r w:rsidR="00F32942">
        <w:t xml:space="preserve">ensures </w:t>
      </w:r>
      <w:r w:rsidR="00D72781">
        <w:t>people recei</w:t>
      </w:r>
      <w:r>
        <w:t>ve</w:t>
      </w:r>
      <w:r w:rsidR="00D72781">
        <w:t xml:space="preserve"> </w:t>
      </w:r>
      <w:r>
        <w:t xml:space="preserve">quality and safe </w:t>
      </w:r>
      <w:r w:rsidR="00D72781">
        <w:t>aged care</w:t>
      </w:r>
      <w:r w:rsidR="004A6055">
        <w:t xml:space="preserve"> assessments and</w:t>
      </w:r>
      <w:r w:rsidR="00D72781">
        <w:t xml:space="preserve"> </w:t>
      </w:r>
      <w:r w:rsidR="00D72781" w:rsidRPr="00C97180">
        <w:rPr>
          <w:color w:val="000000" w:themeColor="text1"/>
        </w:rPr>
        <w:t>services</w:t>
      </w:r>
      <w:r w:rsidR="00C40CD5" w:rsidRPr="00C97180">
        <w:rPr>
          <w:color w:val="000000" w:themeColor="text1"/>
        </w:rPr>
        <w:t xml:space="preserve"> </w:t>
      </w:r>
      <w:r w:rsidR="00FB477A" w:rsidRPr="00C97180">
        <w:rPr>
          <w:color w:val="000000" w:themeColor="text1"/>
        </w:rPr>
        <w:t xml:space="preserve">that </w:t>
      </w:r>
      <w:r w:rsidRPr="00C97180">
        <w:rPr>
          <w:color w:val="000000" w:themeColor="text1"/>
        </w:rPr>
        <w:t xml:space="preserve">meet </w:t>
      </w:r>
      <w:r w:rsidR="00FB477A" w:rsidRPr="00C97180">
        <w:rPr>
          <w:color w:val="000000" w:themeColor="text1"/>
        </w:rPr>
        <w:t xml:space="preserve">their </w:t>
      </w:r>
      <w:r w:rsidRPr="00C97180">
        <w:rPr>
          <w:color w:val="000000" w:themeColor="text1"/>
        </w:rPr>
        <w:t>individual needs</w:t>
      </w:r>
      <w:r w:rsidR="00D72781" w:rsidRPr="00C97180">
        <w:rPr>
          <w:color w:val="000000" w:themeColor="text1"/>
        </w:rPr>
        <w:t>.</w:t>
      </w:r>
    </w:p>
    <w:p w14:paraId="3833E5AB" w14:textId="52E9E5D1" w:rsidR="00B01442" w:rsidRPr="00C97180" w:rsidRDefault="00B01442" w:rsidP="00337FB8">
      <w:pPr>
        <w:pStyle w:val="ListNumber"/>
        <w:rPr>
          <w:color w:val="000000" w:themeColor="text1"/>
        </w:rPr>
      </w:pPr>
      <w:r w:rsidRPr="00C97180">
        <w:rPr>
          <w:color w:val="000000" w:themeColor="text1"/>
        </w:rPr>
        <w:t>The States and Territories are responsible for system management of public hospitals including system-wide public hospital service planning and performance.</w:t>
      </w:r>
      <w:r w:rsidR="00C16898" w:rsidRPr="00C97180">
        <w:rPr>
          <w:color w:val="000000" w:themeColor="text1"/>
        </w:rPr>
        <w:t xml:space="preserve"> This includes where there is an interface with aged care services funded by the Commonwealth.</w:t>
      </w:r>
    </w:p>
    <w:p w14:paraId="1679CA71" w14:textId="7C5DDEA9" w:rsidR="00A9231B" w:rsidRPr="00C97180" w:rsidRDefault="00790A9A" w:rsidP="00337FB8">
      <w:pPr>
        <w:pStyle w:val="ListNumber"/>
        <w:rPr>
          <w:color w:val="000000" w:themeColor="text1"/>
        </w:rPr>
      </w:pPr>
      <w:r w:rsidRPr="00C97180">
        <w:rPr>
          <w:color w:val="000000" w:themeColor="text1"/>
        </w:rPr>
        <w:t>T</w:t>
      </w:r>
      <w:r w:rsidR="00F24F55" w:rsidRPr="00C97180">
        <w:rPr>
          <w:color w:val="000000" w:themeColor="text1"/>
        </w:rPr>
        <w:t xml:space="preserve">he delivery of health and wellbeing services to older </w:t>
      </w:r>
      <w:r w:rsidR="00BE5A62" w:rsidRPr="00C97180">
        <w:rPr>
          <w:color w:val="000000" w:themeColor="text1"/>
        </w:rPr>
        <w:t xml:space="preserve">people </w:t>
      </w:r>
      <w:r w:rsidR="00F24F55" w:rsidRPr="00C97180">
        <w:rPr>
          <w:color w:val="000000" w:themeColor="text1"/>
        </w:rPr>
        <w:t>is a shared responsibility</w:t>
      </w:r>
      <w:r w:rsidR="00BE5A62" w:rsidRPr="00C97180">
        <w:rPr>
          <w:color w:val="000000" w:themeColor="text1"/>
        </w:rPr>
        <w:t xml:space="preserve"> </w:t>
      </w:r>
      <w:r w:rsidR="00645121" w:rsidRPr="00C97180">
        <w:rPr>
          <w:color w:val="000000" w:themeColor="text1"/>
        </w:rPr>
        <w:t>across all jurisdictions</w:t>
      </w:r>
      <w:r w:rsidRPr="00C97180">
        <w:rPr>
          <w:color w:val="000000" w:themeColor="text1"/>
        </w:rPr>
        <w:t xml:space="preserve"> as the </w:t>
      </w:r>
      <w:r w:rsidR="00A9231B" w:rsidRPr="00C97180">
        <w:rPr>
          <w:color w:val="000000" w:themeColor="text1"/>
        </w:rPr>
        <w:t xml:space="preserve">Commonwealth and </w:t>
      </w:r>
      <w:r w:rsidR="00F56697" w:rsidRPr="00C97180">
        <w:rPr>
          <w:color w:val="000000" w:themeColor="text1"/>
        </w:rPr>
        <w:t>S</w:t>
      </w:r>
      <w:r w:rsidR="0064507B" w:rsidRPr="00C97180">
        <w:rPr>
          <w:color w:val="000000" w:themeColor="text1"/>
        </w:rPr>
        <w:t xml:space="preserve">tates </w:t>
      </w:r>
      <w:r w:rsidR="00A9231B" w:rsidRPr="00C97180">
        <w:rPr>
          <w:color w:val="000000" w:themeColor="text1"/>
        </w:rPr>
        <w:t xml:space="preserve">and </w:t>
      </w:r>
      <w:r w:rsidR="00F56697" w:rsidRPr="00C97180">
        <w:rPr>
          <w:color w:val="000000" w:themeColor="text1"/>
        </w:rPr>
        <w:t>T</w:t>
      </w:r>
      <w:r w:rsidR="0064507B" w:rsidRPr="00C97180">
        <w:rPr>
          <w:color w:val="000000" w:themeColor="text1"/>
        </w:rPr>
        <w:t>erritories</w:t>
      </w:r>
      <w:r w:rsidR="006F04E7" w:rsidRPr="00C97180">
        <w:rPr>
          <w:color w:val="000000" w:themeColor="text1"/>
        </w:rPr>
        <w:t xml:space="preserve"> </w:t>
      </w:r>
      <w:r w:rsidR="00A9231B" w:rsidRPr="00C97180">
        <w:rPr>
          <w:color w:val="000000" w:themeColor="text1"/>
        </w:rPr>
        <w:t>a</w:t>
      </w:r>
      <w:r w:rsidR="00CA260C" w:rsidRPr="00C97180">
        <w:rPr>
          <w:color w:val="000000" w:themeColor="text1"/>
        </w:rPr>
        <w:t>re</w:t>
      </w:r>
      <w:r w:rsidR="00A9231B" w:rsidRPr="00C97180">
        <w:rPr>
          <w:color w:val="000000" w:themeColor="text1"/>
        </w:rPr>
        <w:t xml:space="preserve"> collective stewards of a complex system</w:t>
      </w:r>
      <w:r w:rsidR="00BE5A62" w:rsidRPr="00C97180">
        <w:rPr>
          <w:color w:val="000000" w:themeColor="text1"/>
        </w:rPr>
        <w:t xml:space="preserve">. This includes: </w:t>
      </w:r>
    </w:p>
    <w:p w14:paraId="5957FCE2" w14:textId="12E9AB18" w:rsidR="00A9231B" w:rsidRPr="00C97180" w:rsidRDefault="006C184C" w:rsidP="00337FB8">
      <w:pPr>
        <w:pStyle w:val="ListContinue"/>
        <w:numPr>
          <w:ilvl w:val="0"/>
          <w:numId w:val="5"/>
        </w:numPr>
      </w:pPr>
      <w:r w:rsidRPr="00C97180">
        <w:t>t</w:t>
      </w:r>
      <w:r w:rsidR="00A9231B" w:rsidRPr="00C97180">
        <w:t>he Commonwealth’s stewardship of the aged care system</w:t>
      </w:r>
      <w:r w:rsidR="00CC64CA" w:rsidRPr="00C97180">
        <w:t xml:space="preserve"> through</w:t>
      </w:r>
      <w:r w:rsidR="004A6055" w:rsidRPr="00C97180">
        <w:t xml:space="preserve"> Government funding to providers of aged care services.</w:t>
      </w:r>
      <w:r w:rsidR="00CC64CA" w:rsidRPr="00C97180">
        <w:t xml:space="preserve"> </w:t>
      </w:r>
    </w:p>
    <w:p w14:paraId="417E1814" w14:textId="34FA462D" w:rsidR="00790A9A" w:rsidRDefault="006C184C" w:rsidP="00337FB8">
      <w:pPr>
        <w:pStyle w:val="ListContinue"/>
      </w:pPr>
      <w:r>
        <w:lastRenderedPageBreak/>
        <w:t>t</w:t>
      </w:r>
      <w:r w:rsidR="00A9231B" w:rsidRPr="007E6771">
        <w:t xml:space="preserve">he Commonwealth’s stewardship </w:t>
      </w:r>
      <w:r w:rsidR="0014056A">
        <w:t xml:space="preserve">and funding </w:t>
      </w:r>
      <w:r w:rsidR="00A9231B" w:rsidRPr="007E6771">
        <w:t>of primary health care</w:t>
      </w:r>
      <w:r w:rsidR="00790A9A">
        <w:t>,</w:t>
      </w:r>
      <w:r w:rsidR="004F60BC" w:rsidRPr="007E6771">
        <w:t xml:space="preserve"> including </w:t>
      </w:r>
      <w:r w:rsidR="00B57DD7" w:rsidRPr="007E6771">
        <w:t>Pharmaceutical Benefits Scheme</w:t>
      </w:r>
      <w:r w:rsidR="004F60BC" w:rsidRPr="007E6771">
        <w:t xml:space="preserve"> and </w:t>
      </w:r>
      <w:r w:rsidR="00BB6E29" w:rsidRPr="007E6771">
        <w:t>Medicare Benefits Sche</w:t>
      </w:r>
      <w:r w:rsidR="00F00668">
        <w:t>dule</w:t>
      </w:r>
      <w:r w:rsidR="00A9231B" w:rsidRPr="007E6771">
        <w:t xml:space="preserve">, recognising the fundamental role of primary care </w:t>
      </w:r>
      <w:r w:rsidR="004E49D1">
        <w:t xml:space="preserve">in prevention and </w:t>
      </w:r>
      <w:r w:rsidR="00AC5751">
        <w:t xml:space="preserve">early </w:t>
      </w:r>
      <w:r w:rsidR="00A9231B" w:rsidRPr="007E6771">
        <w:t>intervention</w:t>
      </w:r>
      <w:r w:rsidR="00485057">
        <w:t>,</w:t>
      </w:r>
      <w:r w:rsidR="00721FB4">
        <w:t xml:space="preserve"> such as screenin</w:t>
      </w:r>
      <w:r w:rsidR="00F32942">
        <w:t>g</w:t>
      </w:r>
      <w:r w:rsidR="00A9231B" w:rsidRPr="007E6771">
        <w:t>, treatment and management</w:t>
      </w:r>
      <w:r w:rsidR="00DB63CC" w:rsidRPr="007E6771">
        <w:t xml:space="preserve"> of health conditions</w:t>
      </w:r>
      <w:r w:rsidR="00014BB8">
        <w:t xml:space="preserve"> and medications</w:t>
      </w:r>
      <w:r w:rsidR="00A9231B" w:rsidRPr="007E6771">
        <w:t>, and preventing unnecessary hospitalisations</w:t>
      </w:r>
      <w:r w:rsidR="00DB63CC" w:rsidRPr="007E6771">
        <w:t xml:space="preserve"> or entry into permanent residential aged care</w:t>
      </w:r>
      <w:r w:rsidR="0014056A">
        <w:t xml:space="preserve">. </w:t>
      </w:r>
    </w:p>
    <w:p w14:paraId="1F8D4DE9" w14:textId="712CD9A3" w:rsidR="00A9231B" w:rsidRPr="007E6771" w:rsidRDefault="00790A9A" w:rsidP="00337FB8">
      <w:pPr>
        <w:pStyle w:val="ListContinue"/>
      </w:pPr>
      <w:r>
        <w:t xml:space="preserve">the Commonwealth’s funding of </w:t>
      </w:r>
      <w:r w:rsidR="0014056A">
        <w:t>Primary Health Networks</w:t>
      </w:r>
      <w:r w:rsidR="0055069C">
        <w:t xml:space="preserve">, who play a critical linkage </w:t>
      </w:r>
      <w:r w:rsidR="00561D22">
        <w:t>role in the community</w:t>
      </w:r>
      <w:r w:rsidR="0048499E">
        <w:t xml:space="preserve"> along with their assessment and planning for the needs of the community</w:t>
      </w:r>
      <w:r w:rsidR="00C13EC9">
        <w:t>, and other e</w:t>
      </w:r>
      <w:r w:rsidR="00040DDB">
        <w:t>ssential services for daily living</w:t>
      </w:r>
      <w:r w:rsidR="00AE2A2F">
        <w:t>.</w:t>
      </w:r>
    </w:p>
    <w:p w14:paraId="063E5F91" w14:textId="32E4799B" w:rsidR="00A9231B" w:rsidRDefault="00BC1D9F" w:rsidP="00337FB8">
      <w:pPr>
        <w:pStyle w:val="ListContinue"/>
      </w:pPr>
      <w:r>
        <w:t>d.</w:t>
      </w:r>
      <w:r>
        <w:tab/>
        <w:t>‘</w:t>
      </w:r>
      <w:r w:rsidR="006C184C">
        <w:t>t</w:t>
      </w:r>
      <w:r w:rsidR="00A9231B" w:rsidRPr="007E6771">
        <w:t xml:space="preserve">he </w:t>
      </w:r>
      <w:r w:rsidR="00B0497A">
        <w:t xml:space="preserve">States’ and </w:t>
      </w:r>
      <w:r>
        <w:t>‘</w:t>
      </w:r>
      <w:r w:rsidR="00B0497A">
        <w:t xml:space="preserve">Territories’ </w:t>
      </w:r>
      <w:r w:rsidR="008257E0">
        <w:t xml:space="preserve">management of the public hospital system, and </w:t>
      </w:r>
      <w:r w:rsidR="00D4585C">
        <w:t>commitment to</w:t>
      </w:r>
      <w:r w:rsidR="00A9231B" w:rsidRPr="007E6771">
        <w:t xml:space="preserve"> recognising the right of older </w:t>
      </w:r>
      <w:r w:rsidR="00F32942">
        <w:t>people</w:t>
      </w:r>
      <w:r w:rsidR="00F32942" w:rsidRPr="007E6771">
        <w:t xml:space="preserve"> </w:t>
      </w:r>
      <w:r w:rsidR="008257E0">
        <w:t xml:space="preserve">under the Medicare Principles </w:t>
      </w:r>
      <w:r w:rsidR="00BD71E0">
        <w:t>to receive public hospital services free of charge as public patients</w:t>
      </w:r>
      <w:r w:rsidR="00A9231B">
        <w:t xml:space="preserve"> </w:t>
      </w:r>
      <w:proofErr w:type="gramStart"/>
      <w:r w:rsidR="00D4585C">
        <w:t>on the basis of</w:t>
      </w:r>
      <w:proofErr w:type="gramEnd"/>
      <w:r w:rsidR="00D4585C">
        <w:t xml:space="preserve"> clinical need and within a clinically appropriate time</w:t>
      </w:r>
      <w:r w:rsidR="006C184C">
        <w:t>.</w:t>
      </w:r>
      <w:r w:rsidR="005202EF">
        <w:t xml:space="preserve"> </w:t>
      </w:r>
      <w:r w:rsidR="008257E0">
        <w:t xml:space="preserve">Older people receiving residential aged care services must have equitable access to emergency, </w:t>
      </w:r>
      <w:proofErr w:type="gramStart"/>
      <w:r w:rsidR="008257E0">
        <w:t>hospital</w:t>
      </w:r>
      <w:proofErr w:type="gramEnd"/>
      <w:r w:rsidR="008257E0">
        <w:t xml:space="preserve"> and other health services.</w:t>
      </w:r>
    </w:p>
    <w:p w14:paraId="3951ED84" w14:textId="67C9DA8D" w:rsidR="00BE5A62" w:rsidRPr="003D0D78" w:rsidRDefault="0007270B" w:rsidP="00337FB8">
      <w:pPr>
        <w:pStyle w:val="ListNumber"/>
      </w:pPr>
      <w:r>
        <w:t>O</w:t>
      </w:r>
      <w:r w:rsidR="00A9231B" w:rsidRPr="003D0D78">
        <w:t>lder people</w:t>
      </w:r>
      <w:r>
        <w:t xml:space="preserve"> receiving aged care services may also require access to other complex care supports </w:t>
      </w:r>
      <w:r w:rsidR="00790A9A">
        <w:t xml:space="preserve">and programs </w:t>
      </w:r>
      <w:r>
        <w:t xml:space="preserve">provided by both </w:t>
      </w:r>
      <w:r w:rsidR="000D7A3B">
        <w:t>C</w:t>
      </w:r>
      <w:r>
        <w:t xml:space="preserve">ommonwealth and </w:t>
      </w:r>
      <w:r w:rsidR="00566072">
        <w:t>State</w:t>
      </w:r>
      <w:r w:rsidR="00790A9A">
        <w:t>s</w:t>
      </w:r>
      <w:r w:rsidR="00566072">
        <w:t xml:space="preserve"> </w:t>
      </w:r>
      <w:r>
        <w:t xml:space="preserve">and </w:t>
      </w:r>
      <w:r w:rsidR="00790A9A">
        <w:t>Territories</w:t>
      </w:r>
      <w:r>
        <w:t xml:space="preserve">, such as mental health care, </w:t>
      </w:r>
      <w:r w:rsidR="003C710F">
        <w:t xml:space="preserve">memory clinics, </w:t>
      </w:r>
      <w:r w:rsidR="005202EF">
        <w:t xml:space="preserve">palliative care, </w:t>
      </w:r>
      <w:r>
        <w:t xml:space="preserve">disability </w:t>
      </w:r>
      <w:proofErr w:type="gramStart"/>
      <w:r>
        <w:t>supports</w:t>
      </w:r>
      <w:proofErr w:type="gramEnd"/>
      <w:r>
        <w:t xml:space="preserve"> and behaviour supports. These</w:t>
      </w:r>
      <w:r w:rsidR="000D7A3B">
        <w:t xml:space="preserve"> services </w:t>
      </w:r>
      <w:r w:rsidR="0048499E">
        <w:t xml:space="preserve">must </w:t>
      </w:r>
      <w:r w:rsidR="000D7A3B">
        <w:t xml:space="preserve">be coordinated across the </w:t>
      </w:r>
      <w:r w:rsidR="008242DD">
        <w:t xml:space="preserve">health and aged care </w:t>
      </w:r>
      <w:r w:rsidR="000D7A3B">
        <w:t>systems</w:t>
      </w:r>
      <w:r w:rsidR="00002F7D">
        <w:t>.</w:t>
      </w:r>
    </w:p>
    <w:p w14:paraId="18031EB0" w14:textId="518B4165" w:rsidR="00A9231B" w:rsidRPr="00C2560F" w:rsidRDefault="000D7A3B" w:rsidP="00337FB8">
      <w:pPr>
        <w:pStyle w:val="ListNumber"/>
      </w:pPr>
      <w:r w:rsidRPr="00C2560F">
        <w:t>T</w:t>
      </w:r>
      <w:r w:rsidR="00F32942" w:rsidRPr="00C2560F">
        <w:t xml:space="preserve">he </w:t>
      </w:r>
      <w:r w:rsidR="00A9231B" w:rsidRPr="00C2560F">
        <w:t>Commonwealth and States and Territories</w:t>
      </w:r>
      <w:r w:rsidRPr="00C2560F">
        <w:t xml:space="preserve"> share responsibility</w:t>
      </w:r>
      <w:r w:rsidR="00A9231B" w:rsidRPr="00C2560F">
        <w:t xml:space="preserve"> to ensure</w:t>
      </w:r>
      <w:r w:rsidR="000631C7" w:rsidRPr="00C2560F">
        <w:t xml:space="preserve"> systems work together effectively and efficiently</w:t>
      </w:r>
      <w:r w:rsidR="00B1390B" w:rsidRPr="00C2560F">
        <w:t>.</w:t>
      </w:r>
      <w:r w:rsidR="00F00668" w:rsidRPr="00C2560F">
        <w:t xml:space="preserve"> </w:t>
      </w:r>
    </w:p>
    <w:p w14:paraId="3B7F540A" w14:textId="3BB1EC13" w:rsidR="000D7A3B" w:rsidRPr="00C2560F" w:rsidRDefault="000D7A3B" w:rsidP="00337FB8">
      <w:pPr>
        <w:pStyle w:val="ListNumber"/>
      </w:pPr>
      <w:r w:rsidRPr="00C2560F">
        <w:t>Timely and accurate clinical handover across care transition is a critical component in supporting care continuity</w:t>
      </w:r>
      <w:r w:rsidR="000B1788">
        <w:t xml:space="preserve">. It </w:t>
      </w:r>
      <w:r w:rsidRPr="00C2560F">
        <w:t>is a shared responsibility of all clinical care providers</w:t>
      </w:r>
      <w:r w:rsidR="00645121" w:rsidRPr="00C2560F">
        <w:t xml:space="preserve"> to support transitions between systems and </w:t>
      </w:r>
      <w:r w:rsidR="000B1788">
        <w:t xml:space="preserve">ensure </w:t>
      </w:r>
      <w:r w:rsidR="00645121" w:rsidRPr="00C2560F">
        <w:t>best outcomes for the individual</w:t>
      </w:r>
      <w:r w:rsidRPr="00C2560F">
        <w:t>.</w:t>
      </w:r>
      <w:r w:rsidR="00862A6E">
        <w:t xml:space="preserve"> These care transitions include responsibilities for</w:t>
      </w:r>
      <w:r w:rsidR="0075177B">
        <w:t xml:space="preserve"> care and</w:t>
      </w:r>
      <w:r w:rsidR="00002F7D">
        <w:t xml:space="preserve"> treatment plans</w:t>
      </w:r>
      <w:r w:rsidR="00602C23">
        <w:t>,</w:t>
      </w:r>
      <w:r w:rsidR="00002F7D">
        <w:t xml:space="preserve"> </w:t>
      </w:r>
      <w:r w:rsidR="00862A6E">
        <w:t>diagnosis, information transfer and discharge planning</w:t>
      </w:r>
      <w:r w:rsidR="006675EF">
        <w:rPr>
          <w:rStyle w:val="FootnoteReference"/>
        </w:rPr>
        <w:footnoteReference w:id="6"/>
      </w:r>
      <w:r w:rsidR="00862A6E">
        <w:t>.</w:t>
      </w:r>
      <w:r w:rsidR="00E467DB">
        <w:t xml:space="preserve"> </w:t>
      </w:r>
    </w:p>
    <w:p w14:paraId="042F5299" w14:textId="35587A1A" w:rsidR="00744E89" w:rsidRDefault="00447BB9" w:rsidP="00337FB8">
      <w:pPr>
        <w:pStyle w:val="ListNumber"/>
      </w:pPr>
      <w:r>
        <w:t xml:space="preserve">Clinical staff providing aged care services </w:t>
      </w:r>
      <w:r w:rsidR="0048499E">
        <w:t xml:space="preserve">must </w:t>
      </w:r>
      <w:r>
        <w:t>work to their full scope of practice</w:t>
      </w:r>
      <w:r w:rsidR="005F5C5E">
        <w:t xml:space="preserve"> within the appropriate legislative framework</w:t>
      </w:r>
      <w:r>
        <w:t>,</w:t>
      </w:r>
      <w:r w:rsidR="00744E89" w:rsidRPr="003D0D78">
        <w:t xml:space="preserve"> </w:t>
      </w:r>
      <w:r w:rsidR="003F5A0F" w:rsidRPr="003D0D78">
        <w:t>including</w:t>
      </w:r>
      <w:r w:rsidR="00744E89" w:rsidRPr="003D0D78">
        <w:t xml:space="preserve"> </w:t>
      </w:r>
      <w:r w:rsidR="00E92F0D">
        <w:t xml:space="preserve">providing </w:t>
      </w:r>
      <w:r w:rsidR="00013A64">
        <w:t xml:space="preserve">older people </w:t>
      </w:r>
      <w:r w:rsidR="00E92F0D">
        <w:t xml:space="preserve">with </w:t>
      </w:r>
      <w:r w:rsidR="00F03F19">
        <w:t xml:space="preserve">access to </w:t>
      </w:r>
      <w:r w:rsidR="00040DDB">
        <w:t xml:space="preserve">clinically </w:t>
      </w:r>
      <w:r w:rsidR="000B1788">
        <w:t>necessary</w:t>
      </w:r>
      <w:r w:rsidR="00040DDB">
        <w:t xml:space="preserve"> </w:t>
      </w:r>
      <w:r w:rsidR="000B1788">
        <w:t xml:space="preserve">nursing </w:t>
      </w:r>
      <w:r w:rsidR="00040DDB">
        <w:t xml:space="preserve">and allied health services such as clinical </w:t>
      </w:r>
      <w:r w:rsidR="00040DDB" w:rsidRPr="003D0D78">
        <w:t xml:space="preserve">assessment, </w:t>
      </w:r>
      <w:r w:rsidR="0083287A">
        <w:t xml:space="preserve">comprehensive </w:t>
      </w:r>
      <w:r w:rsidR="00744E89" w:rsidRPr="003D0D78">
        <w:t>care planning</w:t>
      </w:r>
      <w:r w:rsidR="003F5A0F" w:rsidRPr="003D0D78">
        <w:t xml:space="preserve"> and review,</w:t>
      </w:r>
      <w:r w:rsidR="00137254" w:rsidRPr="003D0D78">
        <w:t xml:space="preserve"> </w:t>
      </w:r>
      <w:proofErr w:type="gramStart"/>
      <w:r w:rsidR="003F5A0F" w:rsidRPr="003D0D78">
        <w:t>treatments</w:t>
      </w:r>
      <w:proofErr w:type="gramEnd"/>
      <w:r w:rsidR="003F5A0F" w:rsidRPr="003D0D78">
        <w:t xml:space="preserve"> and procedures</w:t>
      </w:r>
      <w:r w:rsidR="006F0739" w:rsidRPr="003D0D78">
        <w:t xml:space="preserve"> </w:t>
      </w:r>
      <w:r>
        <w:t>within clinical scope of practice or delivered under instruction</w:t>
      </w:r>
      <w:r w:rsidR="00D4585C">
        <w:t>, where this is safe to do so</w:t>
      </w:r>
      <w:r w:rsidR="003F5A0F" w:rsidRPr="003D0D78">
        <w:t>.</w:t>
      </w:r>
      <w:r w:rsidR="00F65CF2" w:rsidRPr="003D0D78">
        <w:t xml:space="preserve"> </w:t>
      </w:r>
    </w:p>
    <w:p w14:paraId="2A68F52C" w14:textId="3A78ECBF" w:rsidR="00D4585C" w:rsidRDefault="000D0A9D" w:rsidP="00337FB8">
      <w:pPr>
        <w:pStyle w:val="ListNumber"/>
      </w:pPr>
      <w:r>
        <w:t>A core responsibility</w:t>
      </w:r>
      <w:r w:rsidR="00A9231B" w:rsidRPr="0051471F">
        <w:t xml:space="preserve"> of aged care providers </w:t>
      </w:r>
      <w:r>
        <w:t xml:space="preserve">is </w:t>
      </w:r>
      <w:r w:rsidR="00A9231B" w:rsidRPr="0051471F">
        <w:t xml:space="preserve">to coordinate care </w:t>
      </w:r>
      <w:r w:rsidR="004832CB">
        <w:t xml:space="preserve">for </w:t>
      </w:r>
      <w:r w:rsidR="00E92F0D">
        <w:t xml:space="preserve">people receiving </w:t>
      </w:r>
      <w:r w:rsidR="004832CB">
        <w:t xml:space="preserve">aged care </w:t>
      </w:r>
      <w:r w:rsidR="00A9231B" w:rsidRPr="0051471F">
        <w:t xml:space="preserve">and </w:t>
      </w:r>
      <w:r w:rsidR="004832CB">
        <w:t xml:space="preserve">to </w:t>
      </w:r>
      <w:r w:rsidR="00A9231B" w:rsidRPr="0051471F">
        <w:t>respond to deterioration and change in a person’s health</w:t>
      </w:r>
      <w:r w:rsidR="00825688">
        <w:t>,</w:t>
      </w:r>
      <w:r w:rsidR="00717C45">
        <w:t xml:space="preserve"> including cognitive function,</w:t>
      </w:r>
      <w:r w:rsidR="00A9231B" w:rsidRPr="0051471F">
        <w:t xml:space="preserve"> </w:t>
      </w:r>
      <w:proofErr w:type="gramStart"/>
      <w:r w:rsidR="00A9231B" w:rsidRPr="0051471F">
        <w:t>wellbeing</w:t>
      </w:r>
      <w:proofErr w:type="gramEnd"/>
      <w:r w:rsidR="001E01A7">
        <w:t xml:space="preserve"> and</w:t>
      </w:r>
      <w:r w:rsidR="00BD71E0">
        <w:t xml:space="preserve"> </w:t>
      </w:r>
      <w:r w:rsidR="00825688">
        <w:t>quality of life</w:t>
      </w:r>
      <w:r w:rsidR="00BD71E0">
        <w:t>, and to appropriately escalate care to other service providers</w:t>
      </w:r>
      <w:r w:rsidR="00E92F0D">
        <w:t xml:space="preserve"> as required</w:t>
      </w:r>
      <w:r w:rsidR="000B1788">
        <w:t>,</w:t>
      </w:r>
      <w:r w:rsidR="0098069B">
        <w:t xml:space="preserve"> </w:t>
      </w:r>
      <w:r w:rsidR="00D4585C">
        <w:t xml:space="preserve">in accordance with </w:t>
      </w:r>
      <w:r w:rsidR="00D4585C" w:rsidRPr="001E405F">
        <w:t xml:space="preserve">the </w:t>
      </w:r>
      <w:r w:rsidR="00B51F9D" w:rsidRPr="001E405F">
        <w:t xml:space="preserve">goals </w:t>
      </w:r>
      <w:r w:rsidR="00D4585C" w:rsidRPr="001E405F">
        <w:t xml:space="preserve">and preferences </w:t>
      </w:r>
      <w:r w:rsidR="00D4585C">
        <w:t xml:space="preserve">of the </w:t>
      </w:r>
      <w:r w:rsidR="00013A64">
        <w:t xml:space="preserve">older person </w:t>
      </w:r>
      <w:r w:rsidR="00D4585C">
        <w:t>and/or their</w:t>
      </w:r>
      <w:r w:rsidR="00B51F9D">
        <w:t xml:space="preserve"> </w:t>
      </w:r>
      <w:r w:rsidR="00DC36DF">
        <w:t>s</w:t>
      </w:r>
      <w:r w:rsidR="00B51F9D">
        <w:t>upport people</w:t>
      </w:r>
      <w:r w:rsidR="00D4585C">
        <w:t>.</w:t>
      </w:r>
    </w:p>
    <w:p w14:paraId="7FAB79C0" w14:textId="6221DC92" w:rsidR="003B6E5B" w:rsidRPr="001E405F" w:rsidRDefault="004832CB" w:rsidP="00337FB8">
      <w:pPr>
        <w:pStyle w:val="ListNumber"/>
      </w:pPr>
      <w:r>
        <w:t>A</w:t>
      </w:r>
      <w:r w:rsidR="000D0A9D">
        <w:t>ged care p</w:t>
      </w:r>
      <w:r w:rsidR="00744E89" w:rsidRPr="0051471F">
        <w:t xml:space="preserve">roviders </w:t>
      </w:r>
      <w:r w:rsidR="00602C23">
        <w:t xml:space="preserve">must </w:t>
      </w:r>
      <w:r w:rsidR="00744E89" w:rsidRPr="0051471F">
        <w:t>support</w:t>
      </w:r>
      <w:r w:rsidR="002B1901">
        <w:t xml:space="preserve"> all</w:t>
      </w:r>
      <w:r w:rsidR="00744E89" w:rsidRPr="0051471F">
        <w:t xml:space="preserve"> </w:t>
      </w:r>
      <w:r w:rsidR="00013A64">
        <w:t>older people</w:t>
      </w:r>
      <w:r w:rsidR="00013A64" w:rsidRPr="0051471F">
        <w:t xml:space="preserve"> </w:t>
      </w:r>
      <w:r w:rsidR="00744E89" w:rsidRPr="0051471F">
        <w:t xml:space="preserve">to </w:t>
      </w:r>
      <w:r w:rsidR="006825F3" w:rsidRPr="0051471F">
        <w:t xml:space="preserve">access and </w:t>
      </w:r>
      <w:r w:rsidR="00744E89" w:rsidRPr="0051471F">
        <w:t xml:space="preserve">receive the </w:t>
      </w:r>
      <w:r>
        <w:t xml:space="preserve">co-ordinated </w:t>
      </w:r>
      <w:r w:rsidR="002B1901">
        <w:t xml:space="preserve">clinical </w:t>
      </w:r>
      <w:r w:rsidR="00744E89" w:rsidRPr="0051471F">
        <w:t>care they need</w:t>
      </w:r>
      <w:r w:rsidR="00244E84">
        <w:t>,</w:t>
      </w:r>
      <w:r w:rsidR="002B1901">
        <w:t xml:space="preserve"> including</w:t>
      </w:r>
      <w:r w:rsidR="00717C45">
        <w:t xml:space="preserve"> primary</w:t>
      </w:r>
      <w:r w:rsidR="002B1901">
        <w:t xml:space="preserve"> preventative</w:t>
      </w:r>
      <w:r w:rsidR="00717C45">
        <w:t>, early intervention</w:t>
      </w:r>
      <w:r w:rsidR="002B1901">
        <w:t xml:space="preserve"> </w:t>
      </w:r>
      <w:r w:rsidR="009A547D">
        <w:t xml:space="preserve">and specialist </w:t>
      </w:r>
      <w:r w:rsidR="002B1901">
        <w:t>care</w:t>
      </w:r>
      <w:r w:rsidR="006D1081">
        <w:t xml:space="preserve"> in accordance with the </w:t>
      </w:r>
      <w:r w:rsidR="00B51F9D">
        <w:t xml:space="preserve">goals </w:t>
      </w:r>
      <w:r w:rsidR="006D1081">
        <w:t xml:space="preserve">and preferences of the </w:t>
      </w:r>
      <w:r w:rsidR="00013A64">
        <w:t xml:space="preserve">older person </w:t>
      </w:r>
      <w:r w:rsidR="006D1081">
        <w:t xml:space="preserve">and/or </w:t>
      </w:r>
      <w:r w:rsidR="006D1081" w:rsidRPr="001E405F">
        <w:t>their</w:t>
      </w:r>
      <w:r w:rsidR="00B51F9D" w:rsidRPr="001E405F">
        <w:t xml:space="preserve"> </w:t>
      </w:r>
      <w:r w:rsidR="00971EA9" w:rsidRPr="001E405F">
        <w:t>s</w:t>
      </w:r>
      <w:r w:rsidR="00B51F9D" w:rsidRPr="001E405F">
        <w:t>upport people</w:t>
      </w:r>
      <w:r w:rsidR="00744E89" w:rsidRPr="001E405F">
        <w:t xml:space="preserve">. </w:t>
      </w:r>
    </w:p>
    <w:p w14:paraId="3895F18C" w14:textId="3DE8D094" w:rsidR="00920A26" w:rsidRDefault="00920A26" w:rsidP="00337FB8">
      <w:pPr>
        <w:pStyle w:val="ListNumber"/>
      </w:pPr>
      <w:r>
        <w:t>Access to palliative care and end of life care is a shared responsibility of the aged care provider</w:t>
      </w:r>
      <w:r w:rsidR="00C02850">
        <w:t>, primary care</w:t>
      </w:r>
      <w:r>
        <w:t xml:space="preserve"> </w:t>
      </w:r>
      <w:r w:rsidR="00526BC6">
        <w:t xml:space="preserve">providers </w:t>
      </w:r>
      <w:r>
        <w:t>and state health system</w:t>
      </w:r>
      <w:r w:rsidR="006C184C">
        <w:t>.</w:t>
      </w:r>
    </w:p>
    <w:p w14:paraId="6B604812" w14:textId="70A2DE31" w:rsidR="00920A26" w:rsidRDefault="00D530CA" w:rsidP="00337FB8">
      <w:pPr>
        <w:pStyle w:val="ListContinue"/>
        <w:numPr>
          <w:ilvl w:val="0"/>
          <w:numId w:val="6"/>
        </w:numPr>
      </w:pPr>
      <w:r>
        <w:t>A</w:t>
      </w:r>
      <w:r w:rsidR="00920A26">
        <w:t xml:space="preserve">ged care service providers have </w:t>
      </w:r>
      <w:r w:rsidR="00920A26" w:rsidRPr="0051471F">
        <w:t>staffing and capability</w:t>
      </w:r>
      <w:r w:rsidR="00920A26">
        <w:t xml:space="preserve"> to </w:t>
      </w:r>
      <w:r w:rsidR="00B31E1A">
        <w:t xml:space="preserve">provide and facilitate access to meet </w:t>
      </w:r>
      <w:r>
        <w:t>older people’s</w:t>
      </w:r>
      <w:r w:rsidR="00B31E1A">
        <w:t xml:space="preserve"> needs for </w:t>
      </w:r>
      <w:r w:rsidR="00920A26">
        <w:t>palliative care, end of life care, and advance care planning</w:t>
      </w:r>
      <w:r w:rsidR="00B31E1A">
        <w:t xml:space="preserve"> </w:t>
      </w:r>
      <w:proofErr w:type="gramStart"/>
      <w:r w:rsidR="00B31E1A">
        <w:t>services</w:t>
      </w:r>
      <w:proofErr w:type="gramEnd"/>
    </w:p>
    <w:p w14:paraId="3E175449" w14:textId="553BB2DD" w:rsidR="00526BC6" w:rsidRDefault="00526BC6" w:rsidP="00337FB8">
      <w:pPr>
        <w:pStyle w:val="ListContinue"/>
      </w:pPr>
      <w:r w:rsidRPr="00576E48">
        <w:t xml:space="preserve">Primary care </w:t>
      </w:r>
      <w:r>
        <w:t xml:space="preserve">providers can support access and referral to specialist palliative care services across </w:t>
      </w:r>
      <w:r w:rsidRPr="00576E48">
        <w:t xml:space="preserve">all </w:t>
      </w:r>
      <w:proofErr w:type="gramStart"/>
      <w:r w:rsidRPr="00576E48">
        <w:t>settings</w:t>
      </w:r>
      <w:proofErr w:type="gramEnd"/>
    </w:p>
    <w:p w14:paraId="67B9CDED" w14:textId="0D3CA35A" w:rsidR="00920A26" w:rsidRDefault="00602C23" w:rsidP="00337FB8">
      <w:pPr>
        <w:pStyle w:val="ListContinue"/>
      </w:pPr>
      <w:r>
        <w:t>O</w:t>
      </w:r>
      <w:r w:rsidR="00013A64">
        <w:t>lder people</w:t>
      </w:r>
      <w:r w:rsidR="00013A64" w:rsidRPr="0051471F">
        <w:t xml:space="preserve"> </w:t>
      </w:r>
      <w:r w:rsidR="00920A26" w:rsidRPr="0051471F">
        <w:t>with palliative care needs</w:t>
      </w:r>
      <w:r w:rsidR="005F5C5E">
        <w:t xml:space="preserve"> that cannot be safely delivered by primary care providers or aged care service providers</w:t>
      </w:r>
      <w:r w:rsidR="00920A26" w:rsidRPr="0051471F">
        <w:t xml:space="preserve">, </w:t>
      </w:r>
      <w:r w:rsidR="0048499E">
        <w:t>must</w:t>
      </w:r>
      <w:r w:rsidR="007E0F03">
        <w:t xml:space="preserve"> have the same access to state specialist palliative care services as the general population</w:t>
      </w:r>
      <w:r w:rsidR="00920A26" w:rsidRPr="0051471F">
        <w:t xml:space="preserve">. </w:t>
      </w:r>
      <w:r w:rsidR="00013A64">
        <w:t>Older people</w:t>
      </w:r>
      <w:r w:rsidR="00013A64" w:rsidRPr="0051471F">
        <w:t xml:space="preserve"> </w:t>
      </w:r>
      <w:r w:rsidR="00920A26" w:rsidRPr="0051471F">
        <w:t xml:space="preserve">and their families can </w:t>
      </w:r>
      <w:r w:rsidR="00920A26">
        <w:t xml:space="preserve">nominate their preferences for palliative care, </w:t>
      </w:r>
      <w:r w:rsidR="000B1788">
        <w:t xml:space="preserve">including </w:t>
      </w:r>
      <w:r w:rsidR="00920A26">
        <w:t xml:space="preserve">referral to specialist palliative care services and other end of life choices. </w:t>
      </w:r>
    </w:p>
    <w:p w14:paraId="4D9961FA" w14:textId="5455990B" w:rsidR="006675EF" w:rsidRDefault="006675EF" w:rsidP="00337FB8">
      <w:pPr>
        <w:pStyle w:val="ListContinue"/>
      </w:pPr>
      <w:r>
        <w:t xml:space="preserve">Access to Voluntary Assisted Dying must be supported (where </w:t>
      </w:r>
      <w:r w:rsidR="005F6634">
        <w:t>legislated</w:t>
      </w:r>
      <w:r>
        <w:t>) for eligible older people if this is their choice and preference.</w:t>
      </w:r>
    </w:p>
    <w:p w14:paraId="382F00DD" w14:textId="41738976" w:rsidR="00A9231B" w:rsidRPr="00EB5FE1" w:rsidRDefault="001832D7" w:rsidP="00337FB8">
      <w:pPr>
        <w:pStyle w:val="ListNumber"/>
      </w:pPr>
      <w:r>
        <w:lastRenderedPageBreak/>
        <w:t>O</w:t>
      </w:r>
      <w:r w:rsidR="00A9231B" w:rsidRPr="0051471F">
        <w:t xml:space="preserve">lder </w:t>
      </w:r>
      <w:r w:rsidR="00FF6D06">
        <w:t>people</w:t>
      </w:r>
      <w:r w:rsidR="00A807A7">
        <w:t xml:space="preserve"> </w:t>
      </w:r>
      <w:r w:rsidR="008014B8">
        <w:t xml:space="preserve">have the </w:t>
      </w:r>
      <w:r>
        <w:t xml:space="preserve">same </w:t>
      </w:r>
      <w:r w:rsidR="008014B8">
        <w:t>right</w:t>
      </w:r>
      <w:r w:rsidR="00A9231B" w:rsidRPr="0051471F">
        <w:t xml:space="preserve"> to </w:t>
      </w:r>
      <w:r w:rsidR="00721FB4">
        <w:t xml:space="preserve">choose to </w:t>
      </w:r>
      <w:r w:rsidR="00A9231B" w:rsidRPr="0051471F">
        <w:t xml:space="preserve">receive </w:t>
      </w:r>
      <w:r w:rsidR="000B4BC7">
        <w:t>public hospital services</w:t>
      </w:r>
      <w:r w:rsidR="00BD71E0">
        <w:t xml:space="preserve"> free of charge as public patients</w:t>
      </w:r>
      <w:r w:rsidR="00695ED9">
        <w:t>,</w:t>
      </w:r>
      <w:r w:rsidR="000B4BC7">
        <w:t xml:space="preserve"> </w:t>
      </w:r>
      <w:r w:rsidR="005E16E4">
        <w:t>as the general population</w:t>
      </w:r>
      <w:r w:rsidR="009B28F1">
        <w:t>.</w:t>
      </w:r>
      <w:r w:rsidR="00A9231B" w:rsidRPr="0051471F">
        <w:t xml:space="preserve"> Receiving assistance through the aged care system </w:t>
      </w:r>
      <w:r w:rsidR="00A9231B">
        <w:t>must</w:t>
      </w:r>
      <w:r w:rsidR="00A9231B" w:rsidRPr="0051471F">
        <w:t xml:space="preserve"> not prevent </w:t>
      </w:r>
      <w:r w:rsidR="00695ED9">
        <w:t xml:space="preserve">older people </w:t>
      </w:r>
      <w:r w:rsidR="00A9231B" w:rsidRPr="0051471F">
        <w:t xml:space="preserve">from also accessing </w:t>
      </w:r>
      <w:r w:rsidR="00E92F0D">
        <w:t xml:space="preserve">public hospital services </w:t>
      </w:r>
      <w:proofErr w:type="gramStart"/>
      <w:r w:rsidR="00E92F0D">
        <w:t>on the basi</w:t>
      </w:r>
      <w:r w:rsidR="00E92F0D" w:rsidRPr="00EB5FE1">
        <w:t>s of</w:t>
      </w:r>
      <w:proofErr w:type="gramEnd"/>
      <w:r w:rsidR="00E92F0D" w:rsidRPr="00EB5FE1">
        <w:t xml:space="preserve"> clinical need, within a clinically appropriate period.</w:t>
      </w:r>
    </w:p>
    <w:p w14:paraId="2B15E7C7" w14:textId="1279F104" w:rsidR="006136CB" w:rsidRPr="00EB5FE1" w:rsidRDefault="00687AF9" w:rsidP="00337FB8">
      <w:pPr>
        <w:pStyle w:val="ListNumber"/>
      </w:pPr>
      <w:r w:rsidRPr="00EB5FE1">
        <w:t xml:space="preserve">Recognising the rights of older people to choose to receive public hospital services free of charge as public patients, aged care </w:t>
      </w:r>
      <w:r w:rsidR="00EB5FE1" w:rsidRPr="00EB5FE1">
        <w:t xml:space="preserve">providers </w:t>
      </w:r>
      <w:r w:rsidR="00442123">
        <w:t>must</w:t>
      </w:r>
      <w:r w:rsidR="00442123" w:rsidRPr="00EB5FE1">
        <w:t xml:space="preserve"> </w:t>
      </w:r>
      <w:r w:rsidRPr="00EB5FE1">
        <w:t xml:space="preserve">undertake to provide any care they can safely and reasonably provide before directing </w:t>
      </w:r>
      <w:r w:rsidR="00013A64" w:rsidRPr="00EB5FE1">
        <w:t xml:space="preserve">older people </w:t>
      </w:r>
      <w:r w:rsidRPr="00EB5FE1">
        <w:t>to emergency departments</w:t>
      </w:r>
      <w:r w:rsidR="00636A09" w:rsidRPr="00EB5FE1">
        <w:t>, including referral to alternative services where appropriate</w:t>
      </w:r>
      <w:r w:rsidRPr="00EB5FE1">
        <w:t>.</w:t>
      </w:r>
    </w:p>
    <w:p w14:paraId="669B9E98" w14:textId="46B09264" w:rsidR="008132DD" w:rsidRPr="008132DD" w:rsidRDefault="008132DD" w:rsidP="00337FB8">
      <w:pPr>
        <w:pStyle w:val="ListNumber"/>
      </w:pPr>
      <w:bookmarkStart w:id="0" w:name="_Hlk118186898"/>
      <w:r w:rsidRPr="00EB5FE1">
        <w:t xml:space="preserve">Aged </w:t>
      </w:r>
      <w:r w:rsidR="00566072" w:rsidRPr="00EB5FE1">
        <w:t>care</w:t>
      </w:r>
      <w:r w:rsidRPr="00EB5FE1">
        <w:t xml:space="preserve">, </w:t>
      </w:r>
      <w:r w:rsidR="00566072" w:rsidRPr="00EB5FE1">
        <w:t xml:space="preserve">primary </w:t>
      </w:r>
      <w:r w:rsidRPr="00EB5FE1">
        <w:t>care</w:t>
      </w:r>
      <w:r w:rsidR="007A7DB1" w:rsidRPr="00EB5FE1">
        <w:t>, primary health networks</w:t>
      </w:r>
      <w:r w:rsidR="009E2E2D" w:rsidRPr="00EB5FE1">
        <w:t>, community-based health service providers</w:t>
      </w:r>
      <w:r w:rsidRPr="00EB5FE1">
        <w:t xml:space="preserve"> and hospital service providers will work collaboratively to provide access to culturally </w:t>
      </w:r>
      <w:r w:rsidR="00EF4FB2" w:rsidRPr="00EB5FE1">
        <w:t xml:space="preserve">safe </w:t>
      </w:r>
      <w:r w:rsidRPr="00EB5FE1">
        <w:t>health and aged care service</w:t>
      </w:r>
      <w:r w:rsidR="00546381" w:rsidRPr="00EB5FE1">
        <w:t>s</w:t>
      </w:r>
      <w:r w:rsidRPr="00EB5FE1">
        <w:t xml:space="preserve"> for</w:t>
      </w:r>
      <w:r w:rsidR="006B1315" w:rsidRPr="00EB5FE1">
        <w:t xml:space="preserve"> all people, including, but not limited to</w:t>
      </w:r>
      <w:r w:rsidRPr="00EB5FE1">
        <w:t xml:space="preserve"> </w:t>
      </w:r>
      <w:r w:rsidR="00073AE0" w:rsidRPr="00EB5FE1">
        <w:t>Aboriginal</w:t>
      </w:r>
      <w:r w:rsidRPr="00EB5FE1">
        <w:t xml:space="preserve"> and Torres Strait Islander People. </w:t>
      </w:r>
      <w:r w:rsidR="006675EF" w:rsidRPr="00EB5FE1">
        <w:t>Equitable access must also be provi</w:t>
      </w:r>
      <w:r w:rsidR="001E405F">
        <w:t>d</w:t>
      </w:r>
      <w:r w:rsidR="006675EF" w:rsidRPr="00EB5FE1">
        <w:t xml:space="preserve">ed to older people who are </w:t>
      </w:r>
      <w:r w:rsidR="007264CB" w:rsidRPr="00EB5FE1">
        <w:t xml:space="preserve">from </w:t>
      </w:r>
      <w:r w:rsidR="006675EF" w:rsidRPr="00EB5FE1">
        <w:t xml:space="preserve">Culturally and </w:t>
      </w:r>
      <w:r w:rsidR="00A531BE" w:rsidRPr="00EB5FE1">
        <w:t>Linguistically</w:t>
      </w:r>
      <w:r w:rsidR="00A531BE">
        <w:t xml:space="preserve"> Diverse</w:t>
      </w:r>
      <w:r w:rsidR="007264CB">
        <w:t xml:space="preserve"> backgrounds</w:t>
      </w:r>
      <w:r w:rsidR="00A531BE">
        <w:t>, LGBTIQ+, or living in rural and remote regions.</w:t>
      </w:r>
    </w:p>
    <w:p w14:paraId="2F7A548E" w14:textId="6FF1FF73" w:rsidR="00813773" w:rsidRPr="00EB5FE1" w:rsidRDefault="00485057" w:rsidP="00337FB8">
      <w:pPr>
        <w:pStyle w:val="Heading2"/>
      </w:pPr>
      <w:r>
        <w:br w:type="page"/>
      </w:r>
      <w:r w:rsidR="00F053E3" w:rsidRPr="00EB5FE1">
        <w:lastRenderedPageBreak/>
        <w:t>D</w:t>
      </w:r>
      <w:r w:rsidR="00813773" w:rsidRPr="00EB5FE1">
        <w:t>elineation of clinical roles and responsibilities – Commonwealth</w:t>
      </w:r>
    </w:p>
    <w:bookmarkEnd w:id="0"/>
    <w:p w14:paraId="030A85CF" w14:textId="6F8712DD" w:rsidR="00813773" w:rsidRPr="00813773" w:rsidRDefault="00A7140A" w:rsidP="00337FB8">
      <w:r>
        <w:t>S</w:t>
      </w:r>
      <w:r w:rsidR="00F6257E">
        <w:t>upport</w:t>
      </w:r>
      <w:r>
        <w:t>in</w:t>
      </w:r>
      <w:r w:rsidRPr="00337FB8">
        <w:t>g</w:t>
      </w:r>
      <w:r w:rsidR="00F6257E" w:rsidRPr="00337FB8">
        <w:t xml:space="preserve"> provision</w:t>
      </w:r>
      <w:r w:rsidR="00430EA6" w:rsidRPr="00337FB8">
        <w:t xml:space="preserve"> </w:t>
      </w:r>
      <w:r w:rsidR="00813773" w:rsidRPr="00337FB8">
        <w:t>of clinical</w:t>
      </w:r>
      <w:r w:rsidR="00813773" w:rsidRPr="00813773">
        <w:t xml:space="preserve"> services through:</w:t>
      </w:r>
    </w:p>
    <w:p w14:paraId="5A925A99" w14:textId="5DA6EEFD" w:rsidR="00813773" w:rsidRPr="00EB5FE1" w:rsidRDefault="00813773" w:rsidP="00337FB8">
      <w:pPr>
        <w:pStyle w:val="ListContinue"/>
        <w:numPr>
          <w:ilvl w:val="0"/>
          <w:numId w:val="8"/>
        </w:numPr>
      </w:pPr>
      <w:r w:rsidRPr="00EB5FE1">
        <w:t>Aged care system (see aged care provider roles below)</w:t>
      </w:r>
      <w:r w:rsidR="008E0293" w:rsidRPr="00EB5FE1">
        <w:t xml:space="preserve">, including assessment and service </w:t>
      </w:r>
      <w:proofErr w:type="gramStart"/>
      <w:r w:rsidR="008E0293" w:rsidRPr="00EB5FE1">
        <w:t>provision</w:t>
      </w:r>
      <w:proofErr w:type="gramEnd"/>
    </w:p>
    <w:p w14:paraId="3BAA802A" w14:textId="77777777" w:rsidR="00813773" w:rsidRPr="00813773" w:rsidRDefault="00813773" w:rsidP="00337FB8">
      <w:pPr>
        <w:pStyle w:val="ListContinue"/>
      </w:pPr>
      <w:r w:rsidRPr="00813773">
        <w:t>Medicare Benefits Schedule (MBS) including:</w:t>
      </w:r>
    </w:p>
    <w:p w14:paraId="1703AA45" w14:textId="4A54ECED" w:rsidR="00813773" w:rsidRPr="00813773" w:rsidRDefault="00813773" w:rsidP="00337FB8">
      <w:pPr>
        <w:pStyle w:val="ListBullet2"/>
      </w:pPr>
      <w:r w:rsidRPr="00813773">
        <w:t xml:space="preserve">primary care (both </w:t>
      </w:r>
      <w:proofErr w:type="gramStart"/>
      <w:r w:rsidRPr="00813773">
        <w:t>face</w:t>
      </w:r>
      <w:proofErr w:type="gramEnd"/>
      <w:r w:rsidRPr="00813773">
        <w:t xml:space="preserve"> to face and telehealth/virtual care)</w:t>
      </w:r>
      <w:r w:rsidR="006C184C">
        <w:t>, such as</w:t>
      </w:r>
      <w:r w:rsidRPr="00813773">
        <w:t>:</w:t>
      </w:r>
    </w:p>
    <w:p w14:paraId="02A7D8D6" w14:textId="77777777" w:rsidR="00813773" w:rsidRPr="00813773" w:rsidRDefault="00813773" w:rsidP="00337FB8">
      <w:pPr>
        <w:pStyle w:val="ListBullet3"/>
      </w:pPr>
      <w:r w:rsidRPr="00813773">
        <w:t xml:space="preserve">General Practice including nurse practitioners/GP clinic </w:t>
      </w:r>
      <w:proofErr w:type="gramStart"/>
      <w:r w:rsidRPr="00813773">
        <w:t>nurses</w:t>
      </w:r>
      <w:proofErr w:type="gramEnd"/>
    </w:p>
    <w:p w14:paraId="7C362CF5" w14:textId="77777777" w:rsidR="00813773" w:rsidRPr="00813773" w:rsidRDefault="00813773" w:rsidP="00337FB8">
      <w:pPr>
        <w:pStyle w:val="ListBullet3"/>
      </w:pPr>
      <w:r w:rsidRPr="00813773">
        <w:t>allied health</w:t>
      </w:r>
    </w:p>
    <w:p w14:paraId="45679B15" w14:textId="77777777" w:rsidR="00813773" w:rsidRPr="00813773" w:rsidRDefault="00813773" w:rsidP="00337FB8">
      <w:pPr>
        <w:pStyle w:val="ListBullet3"/>
      </w:pPr>
      <w:r w:rsidRPr="00813773">
        <w:t>pathology</w:t>
      </w:r>
    </w:p>
    <w:p w14:paraId="43A0F386" w14:textId="77FEA36F" w:rsidR="00C71CFB" w:rsidRPr="00813773" w:rsidRDefault="00C71CFB" w:rsidP="00337FB8">
      <w:pPr>
        <w:pStyle w:val="ListBullet3"/>
      </w:pPr>
      <w:r>
        <w:t xml:space="preserve">advance care planning and care at the </w:t>
      </w:r>
      <w:proofErr w:type="gramStart"/>
      <w:r>
        <w:t>end of life</w:t>
      </w:r>
      <w:proofErr w:type="gramEnd"/>
      <w:r>
        <w:t xml:space="preserve"> discussions</w:t>
      </w:r>
    </w:p>
    <w:p w14:paraId="32B54A93" w14:textId="288A4093" w:rsidR="00813773" w:rsidRPr="00813773" w:rsidRDefault="00813773" w:rsidP="00337FB8">
      <w:pPr>
        <w:pStyle w:val="ListBullet2"/>
      </w:pPr>
      <w:r w:rsidRPr="00813773">
        <w:t xml:space="preserve">specialist medical </w:t>
      </w:r>
      <w:r w:rsidR="00002F7D">
        <w:t xml:space="preserve">care </w:t>
      </w:r>
      <w:r w:rsidRPr="00813773">
        <w:t>including mental health services</w:t>
      </w:r>
      <w:r w:rsidR="000B1788">
        <w:t>.</w:t>
      </w:r>
    </w:p>
    <w:p w14:paraId="6FFAA9FD" w14:textId="1A2CD8C1" w:rsidR="00813773" w:rsidRDefault="00B93D3B" w:rsidP="00337FB8">
      <w:pPr>
        <w:pStyle w:val="ListContinue"/>
      </w:pPr>
      <w:r>
        <w:t xml:space="preserve">Primary </w:t>
      </w:r>
      <w:r w:rsidR="00A7140A">
        <w:t>health care support for older people</w:t>
      </w:r>
      <w:r w:rsidR="00316BE7">
        <w:t xml:space="preserve"> </w:t>
      </w:r>
      <w:r w:rsidR="00B14D8D">
        <w:t xml:space="preserve">commissioned </w:t>
      </w:r>
      <w:r w:rsidR="00815423">
        <w:t xml:space="preserve">by </w:t>
      </w:r>
      <w:r w:rsidR="00813773" w:rsidRPr="00813773">
        <w:t>Primary Health Networks</w:t>
      </w:r>
      <w:r w:rsidR="005403A7">
        <w:t xml:space="preserve">, to address equity and diverse needs of older </w:t>
      </w:r>
      <w:proofErr w:type="gramStart"/>
      <w:r w:rsidR="005403A7">
        <w:t>people</w:t>
      </w:r>
      <w:proofErr w:type="gramEnd"/>
    </w:p>
    <w:p w14:paraId="7B6D0C08" w14:textId="6B1CFA36" w:rsidR="00611EF8" w:rsidRPr="00813773" w:rsidRDefault="00611EF8" w:rsidP="00337FB8">
      <w:pPr>
        <w:pStyle w:val="ListContinue"/>
      </w:pPr>
      <w:r>
        <w:t xml:space="preserve">Commonwealth </w:t>
      </w:r>
      <w:r w:rsidRPr="00AB75F7">
        <w:t xml:space="preserve">funded </w:t>
      </w:r>
      <w:r w:rsidRPr="00073AE0">
        <w:t xml:space="preserve">behaviour management </w:t>
      </w:r>
      <w:r w:rsidR="00580CB1" w:rsidRPr="00AB75F7">
        <w:t xml:space="preserve">advisory </w:t>
      </w:r>
      <w:proofErr w:type="gramStart"/>
      <w:r>
        <w:t>services</w:t>
      </w:r>
      <w:proofErr w:type="gramEnd"/>
    </w:p>
    <w:p w14:paraId="39DCDE50" w14:textId="2BEB8F9D" w:rsidR="00813773" w:rsidRPr="009F0C36" w:rsidRDefault="00813773" w:rsidP="00337FB8">
      <w:pPr>
        <w:pStyle w:val="ListContinue"/>
      </w:pPr>
      <w:r w:rsidRPr="00B93D3B">
        <w:t>Pharmaceutical Benefits Scheme (PBS)</w:t>
      </w:r>
      <w:r w:rsidR="00014BB8">
        <w:t xml:space="preserve"> and community pharmacy (including Residential Medication Management Reviews and Quality Use of Medicines)</w:t>
      </w:r>
    </w:p>
    <w:p w14:paraId="6B42C76C" w14:textId="06F14019" w:rsidR="00813773" w:rsidRPr="00A17A0C" w:rsidRDefault="00F053E3" w:rsidP="00337FB8">
      <w:pPr>
        <w:pStyle w:val="Heading2"/>
      </w:pPr>
      <w:r>
        <w:t>D</w:t>
      </w:r>
      <w:r w:rsidR="00813773" w:rsidRPr="00A17A0C">
        <w:t xml:space="preserve">elineation of clinical roles and responsibilities – States and Territories </w:t>
      </w:r>
    </w:p>
    <w:p w14:paraId="7BE96CB9" w14:textId="7034AC30" w:rsidR="00813773" w:rsidRPr="00813773" w:rsidRDefault="000C0168" w:rsidP="00337FB8">
      <w:r>
        <w:t>P</w:t>
      </w:r>
      <w:r w:rsidR="00813773" w:rsidRPr="00813773">
        <w:t xml:space="preserve">rovision </w:t>
      </w:r>
      <w:r w:rsidR="00813773" w:rsidRPr="00EB5FE1">
        <w:t>of</w:t>
      </w:r>
      <w:r w:rsidR="00813773" w:rsidRPr="00813773">
        <w:t xml:space="preserve"> </w:t>
      </w:r>
      <w:r w:rsidR="00813773" w:rsidRPr="00337FB8">
        <w:t>clinical services</w:t>
      </w:r>
      <w:r>
        <w:rPr>
          <w:rStyle w:val="FootnoteReference"/>
          <w:rFonts w:eastAsia="Times New Roman"/>
        </w:rPr>
        <w:footnoteReference w:id="7"/>
      </w:r>
      <w:r w:rsidR="00813773" w:rsidRPr="00813773">
        <w:t xml:space="preserve"> through:</w:t>
      </w:r>
    </w:p>
    <w:p w14:paraId="7557311D" w14:textId="6411D4B7" w:rsidR="008A29D9" w:rsidRPr="00EB5FE1" w:rsidRDefault="008A29D9" w:rsidP="00337FB8">
      <w:pPr>
        <w:pStyle w:val="ListContinue"/>
        <w:numPr>
          <w:ilvl w:val="0"/>
          <w:numId w:val="7"/>
        </w:numPr>
      </w:pPr>
      <w:r w:rsidRPr="00580CB1">
        <w:t xml:space="preserve">Public hospital system management, including providing older people with access to all public hospital services, emergency and non-admitted services such as post-acute care and rehabilitation and sub-acute </w:t>
      </w:r>
      <w:proofErr w:type="gramStart"/>
      <w:r w:rsidRPr="00580CB1">
        <w:t>care</w:t>
      </w:r>
      <w:proofErr w:type="gramEnd"/>
    </w:p>
    <w:p w14:paraId="4596C9C9" w14:textId="42177BE6" w:rsidR="00827F54" w:rsidRDefault="00815423" w:rsidP="00337FB8">
      <w:pPr>
        <w:pStyle w:val="ListContinue"/>
      </w:pPr>
      <w:r>
        <w:t xml:space="preserve">Health and aged care </w:t>
      </w:r>
      <w:r w:rsidR="00827F54">
        <w:t>support for older people in Multi-Purpose Services</w:t>
      </w:r>
    </w:p>
    <w:p w14:paraId="3978DEEF" w14:textId="5F6CF632" w:rsidR="00611EF8" w:rsidRDefault="00B11981" w:rsidP="00337FB8">
      <w:pPr>
        <w:pStyle w:val="ListContinue"/>
      </w:pPr>
      <w:r>
        <w:t>Specialist h</w:t>
      </w:r>
      <w:r w:rsidR="00611EF8">
        <w:t xml:space="preserve">ealth support for people in Specialist Dementia Care Program units, including care </w:t>
      </w:r>
      <w:proofErr w:type="gramStart"/>
      <w:r w:rsidR="00611EF8">
        <w:t>planning</w:t>
      </w:r>
      <w:proofErr w:type="gramEnd"/>
    </w:p>
    <w:p w14:paraId="7180C97F" w14:textId="1EF565F1" w:rsidR="00813773" w:rsidRPr="00813773" w:rsidRDefault="00827F54" w:rsidP="00337FB8">
      <w:pPr>
        <w:pStyle w:val="ListContinue"/>
      </w:pPr>
      <w:r>
        <w:t xml:space="preserve">Other </w:t>
      </w:r>
      <w:r w:rsidR="00813773" w:rsidRPr="00813773">
        <w:t xml:space="preserve">care not </w:t>
      </w:r>
      <w:r>
        <w:t xml:space="preserve">generally </w:t>
      </w:r>
      <w:r w:rsidR="00813773" w:rsidRPr="00813773">
        <w:t xml:space="preserve">expected to be provided </w:t>
      </w:r>
      <w:r w:rsidR="00EA52BB" w:rsidRPr="00813773">
        <w:t>by</w:t>
      </w:r>
      <w:r w:rsidR="00813773" w:rsidRPr="00813773">
        <w:t xml:space="preserve"> primary care or aged care </w:t>
      </w:r>
      <w:r w:rsidR="005F3D65">
        <w:t xml:space="preserve">for older people </w:t>
      </w:r>
      <w:r w:rsidR="00813773" w:rsidRPr="00813773">
        <w:t>such as</w:t>
      </w:r>
      <w:r w:rsidR="00F32942">
        <w:t>:</w:t>
      </w:r>
    </w:p>
    <w:p w14:paraId="0E17DB77" w14:textId="3D718854" w:rsidR="000118B2" w:rsidRPr="00EB5FE1" w:rsidRDefault="00D27F0E" w:rsidP="00337FB8">
      <w:pPr>
        <w:pStyle w:val="ListBullet2"/>
      </w:pPr>
      <w:r>
        <w:t xml:space="preserve">specialist </w:t>
      </w:r>
      <w:r w:rsidR="000118B2" w:rsidRPr="00EB5FE1">
        <w:t xml:space="preserve">allied health care, such as </w:t>
      </w:r>
      <w:r w:rsidR="00444D44" w:rsidRPr="00EB5FE1">
        <w:t>high-risk</w:t>
      </w:r>
      <w:r w:rsidR="000118B2" w:rsidRPr="00EB5FE1">
        <w:t xml:space="preserve"> foot service</w:t>
      </w:r>
    </w:p>
    <w:p w14:paraId="444B0CD7" w14:textId="58D250BE" w:rsidR="000118B2" w:rsidRPr="00EB5FE1" w:rsidRDefault="00D27F0E" w:rsidP="00337FB8">
      <w:pPr>
        <w:pStyle w:val="ListBullet2"/>
      </w:pPr>
      <w:r w:rsidRPr="00EB5FE1">
        <w:t xml:space="preserve">specialist </w:t>
      </w:r>
      <w:r w:rsidR="000118B2" w:rsidRPr="00EB5FE1">
        <w:t>nursing health care, such as management of PICC lines, oversight of implantable infusion pumps and insulin infusion pumps</w:t>
      </w:r>
    </w:p>
    <w:p w14:paraId="74BF0B17" w14:textId="2D61F385" w:rsidR="00813773" w:rsidRPr="00EB5FE1" w:rsidRDefault="002D34AA" w:rsidP="00337FB8">
      <w:pPr>
        <w:pStyle w:val="ListBullet2"/>
      </w:pPr>
      <w:r w:rsidRPr="00EB5FE1">
        <w:t xml:space="preserve">specialist palliative </w:t>
      </w:r>
      <w:r w:rsidR="00F6257E" w:rsidRPr="00EB5FE1">
        <w:t xml:space="preserve">care to support dignity at end of </w:t>
      </w:r>
      <w:proofErr w:type="gramStart"/>
      <w:r w:rsidR="00F6257E" w:rsidRPr="00EB5FE1">
        <w:t>lif</w:t>
      </w:r>
      <w:r w:rsidR="006C184C" w:rsidRPr="00EB5FE1">
        <w:t>e</w:t>
      </w:r>
      <w:proofErr w:type="gramEnd"/>
      <w:r w:rsidR="00813773" w:rsidRPr="00EB5FE1">
        <w:t xml:space="preserve"> </w:t>
      </w:r>
    </w:p>
    <w:p w14:paraId="6019583B" w14:textId="1E5108BF" w:rsidR="00813773" w:rsidRPr="00EB5FE1" w:rsidRDefault="00636A09" w:rsidP="00337FB8">
      <w:pPr>
        <w:pStyle w:val="ListBullet2"/>
      </w:pPr>
      <w:r w:rsidRPr="00EB5FE1">
        <w:t xml:space="preserve">specialist </w:t>
      </w:r>
      <w:r w:rsidR="00813773" w:rsidRPr="00EB5FE1">
        <w:t>behavioural or clinical issues requiring assessment by a geriatrician/</w:t>
      </w:r>
      <w:r w:rsidR="00AB75F7">
        <w:t xml:space="preserve"> </w:t>
      </w:r>
      <w:proofErr w:type="spellStart"/>
      <w:r w:rsidR="00AB75F7">
        <w:t>psychogeriatrician</w:t>
      </w:r>
      <w:proofErr w:type="spellEnd"/>
      <w:r w:rsidR="00813773" w:rsidRPr="00EB5FE1">
        <w:t xml:space="preserve"> /Older People’s Mental Health Services (OPMH) (including for facilitated discharge from hospital to A</w:t>
      </w:r>
      <w:r w:rsidR="00B93D3B" w:rsidRPr="00EB5FE1">
        <w:t xml:space="preserve">ged </w:t>
      </w:r>
      <w:r w:rsidR="00813773" w:rsidRPr="00EB5FE1">
        <w:t>C</w:t>
      </w:r>
      <w:r w:rsidR="00B93D3B" w:rsidRPr="00EB5FE1">
        <w:t>are</w:t>
      </w:r>
      <w:r w:rsidR="00D530CA" w:rsidRPr="00EB5FE1">
        <w:t xml:space="preserve"> Services</w:t>
      </w:r>
      <w:r w:rsidR="00813773" w:rsidRPr="00EB5FE1">
        <w:t>)</w:t>
      </w:r>
    </w:p>
    <w:p w14:paraId="475AB868" w14:textId="4373B717" w:rsidR="00813773" w:rsidRPr="00EB5FE1" w:rsidRDefault="00636A09" w:rsidP="00337FB8">
      <w:pPr>
        <w:pStyle w:val="ListBullet2"/>
      </w:pPr>
      <w:r w:rsidRPr="00EB5FE1">
        <w:t xml:space="preserve">specialist support for </w:t>
      </w:r>
      <w:r w:rsidR="00813773" w:rsidRPr="00EB5FE1">
        <w:t>chronic and complex</w:t>
      </w:r>
      <w:r w:rsidRPr="00EB5FE1">
        <w:t xml:space="preserve"> care needs</w:t>
      </w:r>
      <w:r w:rsidR="00813773" w:rsidRPr="00EB5FE1">
        <w:t xml:space="preserve"> (including</w:t>
      </w:r>
      <w:r w:rsidRPr="00EB5FE1">
        <w:t xml:space="preserve"> specialist clinics and services</w:t>
      </w:r>
      <w:r w:rsidR="00813773" w:rsidRPr="00EB5FE1">
        <w:t xml:space="preserve"> to facilitate early discharge or avoid unnecessary hospital presentation)</w:t>
      </w:r>
    </w:p>
    <w:p w14:paraId="0545523F" w14:textId="613AE0F7" w:rsidR="00813773" w:rsidRPr="00261F95" w:rsidRDefault="00827F54" w:rsidP="00337FB8">
      <w:pPr>
        <w:pStyle w:val="ListContinue"/>
      </w:pPr>
      <w:r w:rsidRPr="00EB5FE1">
        <w:t>State and territory led p</w:t>
      </w:r>
      <w:r w:rsidR="00430EA6" w:rsidRPr="00EB5FE1">
        <w:t>ublic health</w:t>
      </w:r>
      <w:r w:rsidRPr="00EB5FE1">
        <w:t xml:space="preserve"> activity</w:t>
      </w:r>
      <w:r w:rsidR="00430EA6" w:rsidRPr="00EB5FE1">
        <w:t>, including</w:t>
      </w:r>
      <w:r w:rsidRPr="00EB5FE1">
        <w:t xml:space="preserve"> but not limited to,</w:t>
      </w:r>
      <w:r w:rsidR="00430EA6" w:rsidRPr="00EB5FE1">
        <w:t xml:space="preserve"> r</w:t>
      </w:r>
      <w:r w:rsidR="00813773" w:rsidRPr="00EB5FE1">
        <w:t xml:space="preserve">eceipt of infectious diseases notifications and </w:t>
      </w:r>
      <w:r w:rsidR="00430EA6" w:rsidRPr="00EB5FE1">
        <w:t xml:space="preserve">supporting </w:t>
      </w:r>
      <w:r w:rsidR="00D72781" w:rsidRPr="00EB5FE1">
        <w:t>outbreaks</w:t>
      </w:r>
      <w:r w:rsidR="00013A64">
        <w:t xml:space="preserve"> and emergency preparedness and response activities</w:t>
      </w:r>
      <w:r w:rsidR="0031783D" w:rsidRPr="00430EA6">
        <w:t xml:space="preserve"> within established protocol</w:t>
      </w:r>
      <w:r w:rsidR="00013A64">
        <w:t>.</w:t>
      </w:r>
    </w:p>
    <w:p w14:paraId="72207B54" w14:textId="3D0FA12D" w:rsidR="00813773" w:rsidRDefault="006C184C" w:rsidP="00444D44">
      <w:pPr>
        <w:pStyle w:val="Heading2"/>
        <w:keepNext/>
        <w:pageBreakBefore/>
      </w:pPr>
      <w:r>
        <w:lastRenderedPageBreak/>
        <w:t>D</w:t>
      </w:r>
      <w:r w:rsidR="00813773" w:rsidRPr="00A17A0C">
        <w:t xml:space="preserve">elineation of clinical roles and responsibilities – Residential Aged Care </w:t>
      </w:r>
      <w:r w:rsidR="00E85AE9">
        <w:t>Services</w:t>
      </w:r>
    </w:p>
    <w:p w14:paraId="7DDF9541" w14:textId="6A4E2B40" w:rsidR="00D72781" w:rsidRPr="00337FB8" w:rsidRDefault="00CE485F" w:rsidP="00337FB8">
      <w:r>
        <w:rPr>
          <w:rFonts w:eastAsia="Times New Roman"/>
        </w:rPr>
        <w:t xml:space="preserve">Aged </w:t>
      </w:r>
      <w:r w:rsidRPr="00337FB8">
        <w:t xml:space="preserve">care approved providers must </w:t>
      </w:r>
      <w:r w:rsidR="00D72781" w:rsidRPr="00337FB8">
        <w:t>regularly review the</w:t>
      </w:r>
      <w:r w:rsidRPr="00337FB8">
        <w:t>ir</w:t>
      </w:r>
      <w:r w:rsidR="00D72781" w:rsidRPr="00337FB8">
        <w:t xml:space="preserve"> clinical governance framework</w:t>
      </w:r>
      <w:r w:rsidRPr="00337FB8">
        <w:t>s</w:t>
      </w:r>
      <w:r w:rsidR="00D72781" w:rsidRPr="00337FB8">
        <w:t xml:space="preserve"> to maintain and improve the reliability, </w:t>
      </w:r>
      <w:proofErr w:type="gramStart"/>
      <w:r w:rsidR="00D72781" w:rsidRPr="00337FB8">
        <w:t>safety</w:t>
      </w:r>
      <w:proofErr w:type="gramEnd"/>
      <w:r w:rsidR="00D72781" w:rsidRPr="00337FB8">
        <w:t xml:space="preserve"> and quality of clinical care, and to improve outcomes for</w:t>
      </w:r>
      <w:r w:rsidR="004F0D8B" w:rsidRPr="00337FB8">
        <w:t xml:space="preserve"> </w:t>
      </w:r>
      <w:r w:rsidR="00580CB1" w:rsidRPr="00337FB8">
        <w:t>older people</w:t>
      </w:r>
      <w:r w:rsidR="00D72781" w:rsidRPr="006B116E">
        <w:rPr>
          <w:rStyle w:val="FootnoteReference"/>
        </w:rPr>
        <w:footnoteReference w:id="8"/>
      </w:r>
      <w:r w:rsidR="00D72781" w:rsidRPr="00337FB8">
        <w:t xml:space="preserve"> </w:t>
      </w:r>
    </w:p>
    <w:p w14:paraId="632827BF" w14:textId="76D53F5C" w:rsidR="00813773" w:rsidRPr="00813773" w:rsidRDefault="00813773" w:rsidP="00337FB8">
      <w:pPr>
        <w:rPr>
          <w:rFonts w:eastAsia="Times New Roman"/>
        </w:rPr>
      </w:pPr>
      <w:bookmarkStart w:id="1" w:name="_Hlk118909012"/>
      <w:r w:rsidRPr="00337FB8">
        <w:t xml:space="preserve">Clinical care </w:t>
      </w:r>
      <w:r w:rsidR="002867E9" w:rsidRPr="00337FB8">
        <w:t>(</w:t>
      </w:r>
      <w:r w:rsidRPr="00337FB8">
        <w:t>provided</w:t>
      </w:r>
      <w:r w:rsidR="00DC6E8D" w:rsidRPr="00337FB8">
        <w:t xml:space="preserve"> directly or sub-contracted as needed</w:t>
      </w:r>
      <w:r w:rsidR="002867E9" w:rsidRPr="00337FB8">
        <w:t>)</w:t>
      </w:r>
      <w:bookmarkEnd w:id="1"/>
      <w:r w:rsidRPr="00337FB8">
        <w:t>, with clinical staff recognising</w:t>
      </w:r>
      <w:r w:rsidR="00BD7805" w:rsidRPr="00337FB8">
        <w:t xml:space="preserve">, </w:t>
      </w:r>
      <w:r w:rsidRPr="00337FB8">
        <w:t>responding</w:t>
      </w:r>
      <w:r w:rsidRPr="00813773">
        <w:rPr>
          <w:rFonts w:eastAsia="Times New Roman"/>
        </w:rPr>
        <w:t xml:space="preserve"> to </w:t>
      </w:r>
      <w:proofErr w:type="gramStart"/>
      <w:r w:rsidRPr="00813773">
        <w:rPr>
          <w:rFonts w:eastAsia="Times New Roman"/>
        </w:rPr>
        <w:t>deterioration</w:t>
      </w:r>
      <w:proofErr w:type="gramEnd"/>
      <w:r w:rsidRPr="00813773">
        <w:rPr>
          <w:rFonts w:eastAsia="Times New Roman"/>
        </w:rPr>
        <w:t xml:space="preserve"> and escalating appropriately:</w:t>
      </w:r>
    </w:p>
    <w:p w14:paraId="1689A953" w14:textId="1F0FC8D4" w:rsidR="00813773" w:rsidRPr="00EB5FE1" w:rsidRDefault="00813773" w:rsidP="00337FB8">
      <w:pPr>
        <w:pStyle w:val="ListContinue"/>
        <w:numPr>
          <w:ilvl w:val="0"/>
          <w:numId w:val="11"/>
        </w:numPr>
      </w:pPr>
      <w:r w:rsidRPr="00EB5FE1">
        <w:t xml:space="preserve">Nursing care and procedures including but not limited to: </w:t>
      </w:r>
    </w:p>
    <w:p w14:paraId="3A318DF3" w14:textId="3B78039B" w:rsidR="00813773" w:rsidRPr="00813773" w:rsidRDefault="00813773" w:rsidP="00337FB8">
      <w:pPr>
        <w:pStyle w:val="ListBullet2"/>
      </w:pPr>
      <w:r w:rsidRPr="00813773">
        <w:t>injections</w:t>
      </w:r>
    </w:p>
    <w:p w14:paraId="1A1F70FB" w14:textId="77777777" w:rsidR="00813773" w:rsidRPr="00813773" w:rsidRDefault="00813773" w:rsidP="00337FB8">
      <w:pPr>
        <w:pStyle w:val="ListBullet2"/>
      </w:pPr>
      <w:r w:rsidRPr="00813773">
        <w:t>tracheostomy care</w:t>
      </w:r>
    </w:p>
    <w:p w14:paraId="433E0E85" w14:textId="7989344F" w:rsidR="00813773" w:rsidRDefault="00813773" w:rsidP="00337FB8">
      <w:pPr>
        <w:pStyle w:val="ListBullet2"/>
      </w:pPr>
      <w:r w:rsidRPr="00813773">
        <w:t>oxygen</w:t>
      </w:r>
      <w:r w:rsidR="00815DA5">
        <w:t xml:space="preserve"> therapy</w:t>
      </w:r>
      <w:r w:rsidR="00E17CCB">
        <w:t xml:space="preserve"> &amp; suctioning airways</w:t>
      </w:r>
    </w:p>
    <w:p w14:paraId="1FA8A8C5" w14:textId="5514FA8B" w:rsidR="00E17CCB" w:rsidRPr="00813773" w:rsidRDefault="00E17CCB" w:rsidP="00337FB8">
      <w:pPr>
        <w:pStyle w:val="ListBullet2"/>
      </w:pPr>
      <w:r>
        <w:t>continuous positive airways pressure management</w:t>
      </w:r>
    </w:p>
    <w:p w14:paraId="3EBFED24" w14:textId="77777777" w:rsidR="00813773" w:rsidRPr="00813773" w:rsidRDefault="00813773" w:rsidP="00337FB8">
      <w:pPr>
        <w:pStyle w:val="ListBullet2"/>
      </w:pPr>
      <w:r w:rsidRPr="00813773">
        <w:t>delivering enteral feeding</w:t>
      </w:r>
    </w:p>
    <w:p w14:paraId="63F95C56" w14:textId="77777777" w:rsidR="00813773" w:rsidRPr="00813773" w:rsidRDefault="00813773" w:rsidP="00337FB8">
      <w:pPr>
        <w:pStyle w:val="ListBullet2"/>
      </w:pPr>
      <w:r w:rsidRPr="00813773">
        <w:t>continence care and catheter management</w:t>
      </w:r>
    </w:p>
    <w:p w14:paraId="70583C69" w14:textId="53DE30AF" w:rsidR="00813773" w:rsidRDefault="00813773" w:rsidP="00337FB8">
      <w:pPr>
        <w:pStyle w:val="ListBullet2"/>
      </w:pPr>
      <w:r w:rsidRPr="00813773">
        <w:t>stoma management</w:t>
      </w:r>
    </w:p>
    <w:p w14:paraId="305B9ABD" w14:textId="324950C2" w:rsidR="00E17CCB" w:rsidRDefault="00E17CCB" w:rsidP="00337FB8">
      <w:pPr>
        <w:pStyle w:val="ListBullet2"/>
      </w:pPr>
      <w:r>
        <w:t>wound management</w:t>
      </w:r>
    </w:p>
    <w:p w14:paraId="41ABDEA5" w14:textId="543C564B" w:rsidR="00E17CCB" w:rsidRDefault="00E17CCB" w:rsidP="00337FB8">
      <w:pPr>
        <w:pStyle w:val="ListBullet2"/>
      </w:pPr>
      <w:r>
        <w:t xml:space="preserve">insertion, care and maintenance of tubes, including intravenous and </w:t>
      </w:r>
      <w:proofErr w:type="spellStart"/>
      <w:r>
        <w:t>naso</w:t>
      </w:r>
      <w:proofErr w:type="spellEnd"/>
      <w:r>
        <w:noBreakHyphen/>
        <w:t xml:space="preserve">gastric </w:t>
      </w:r>
      <w:proofErr w:type="gramStart"/>
      <w:r>
        <w:t>tubes</w:t>
      </w:r>
      <w:proofErr w:type="gramEnd"/>
    </w:p>
    <w:p w14:paraId="29C74DD2" w14:textId="3A426C32" w:rsidR="00FE5CCC" w:rsidRDefault="00FE5CCC" w:rsidP="00337FB8">
      <w:pPr>
        <w:pStyle w:val="ListBullet2"/>
      </w:pPr>
      <w:r>
        <w:t>enema administration</w:t>
      </w:r>
    </w:p>
    <w:p w14:paraId="213D944E" w14:textId="1B3B8A8B" w:rsidR="00FE5CCC" w:rsidRDefault="00FE5CCC" w:rsidP="00337FB8">
      <w:pPr>
        <w:pStyle w:val="ListBullet2"/>
      </w:pPr>
      <w:r>
        <w:t>insertion of suppositories</w:t>
      </w:r>
    </w:p>
    <w:p w14:paraId="563EAB65" w14:textId="7723ECDD" w:rsidR="00FE5CCC" w:rsidRDefault="00FE5CCC" w:rsidP="00337FB8">
      <w:pPr>
        <w:pStyle w:val="ListBullet2"/>
      </w:pPr>
      <w:r>
        <w:t>blood glucose monitoring</w:t>
      </w:r>
    </w:p>
    <w:p w14:paraId="3A445F63" w14:textId="77777777" w:rsidR="00FE5CCC" w:rsidRDefault="00FE5CCC" w:rsidP="00337FB8">
      <w:pPr>
        <w:pStyle w:val="ListBullet2"/>
      </w:pPr>
      <w:r>
        <w:t>pain management</w:t>
      </w:r>
    </w:p>
    <w:p w14:paraId="04127AF0" w14:textId="77B6C8DB" w:rsidR="00813773" w:rsidRPr="00813773" w:rsidRDefault="00813773" w:rsidP="00337FB8">
      <w:pPr>
        <w:pStyle w:val="ListBullet2"/>
      </w:pPr>
      <w:r w:rsidRPr="00813773">
        <w:t>regular observations for peritoneal dialysis</w:t>
      </w:r>
    </w:p>
    <w:p w14:paraId="3696E819" w14:textId="4B6C6F3C" w:rsidR="00CB3AF2" w:rsidRDefault="00E77320" w:rsidP="00337FB8">
      <w:pPr>
        <w:pStyle w:val="ListContinue"/>
      </w:pPr>
      <w:r>
        <w:t xml:space="preserve">assist with or provide personal hygiene support including oral health management and considerations for bariatric care </w:t>
      </w:r>
      <w:proofErr w:type="gramStart"/>
      <w:r>
        <w:t>needs</w:t>
      </w:r>
      <w:proofErr w:type="gramEnd"/>
    </w:p>
    <w:p w14:paraId="13364554" w14:textId="0EBC2BAA" w:rsidR="00813773" w:rsidRPr="00EB5FE1" w:rsidRDefault="00813773" w:rsidP="00337FB8">
      <w:pPr>
        <w:pStyle w:val="ListContinue"/>
      </w:pPr>
      <w:r w:rsidRPr="00EB5FE1">
        <w:t>Wound and pressure</w:t>
      </w:r>
      <w:r w:rsidR="003F0759">
        <w:t xml:space="preserve"> injury</w:t>
      </w:r>
      <w:r w:rsidRPr="00EB5FE1">
        <w:t xml:space="preserve"> prevention and management including appropriate escalation for</w:t>
      </w:r>
      <w:r w:rsidR="00AA29A3" w:rsidRPr="00EB5FE1">
        <w:t xml:space="preserve"> medical care and</w:t>
      </w:r>
      <w:r w:rsidRPr="00EB5FE1">
        <w:t xml:space="preserve"> specialist wound consultation</w:t>
      </w:r>
      <w:r w:rsidR="004672F0" w:rsidRPr="00EB5FE1">
        <w:t xml:space="preserve"> where such care is required</w:t>
      </w:r>
      <w:r w:rsidR="00F32942" w:rsidRPr="00EB5FE1">
        <w:t xml:space="preserve">, </w:t>
      </w:r>
      <w:r w:rsidRPr="00EB5FE1">
        <w:t xml:space="preserve">such as infection, or complex wounds including those requiring negative pressure wound </w:t>
      </w:r>
      <w:proofErr w:type="gramStart"/>
      <w:r w:rsidRPr="00EB5FE1">
        <w:t>devices</w:t>
      </w:r>
      <w:proofErr w:type="gramEnd"/>
    </w:p>
    <w:p w14:paraId="634883AE" w14:textId="0C1137B9" w:rsidR="006E3194" w:rsidRPr="00E62CEE" w:rsidRDefault="00ED0889" w:rsidP="00337FB8">
      <w:pPr>
        <w:pStyle w:val="ListContinue"/>
      </w:pPr>
      <w:r>
        <w:t xml:space="preserve">Enabling </w:t>
      </w:r>
      <w:r w:rsidR="00516D9D" w:rsidRPr="00AB75F7">
        <w:t xml:space="preserve">older </w:t>
      </w:r>
      <w:r w:rsidR="00516D9D" w:rsidRPr="001E405F">
        <w:t>people</w:t>
      </w:r>
      <w:r w:rsidR="00516D9D" w:rsidRPr="00AB75F7">
        <w:t xml:space="preserve"> </w:t>
      </w:r>
      <w:r w:rsidRPr="00AB75F7">
        <w:t xml:space="preserve">to develop an advance care directive or co-develop </w:t>
      </w:r>
      <w:r w:rsidR="006E3194" w:rsidRPr="003F0759">
        <w:t xml:space="preserve">an advance care plan </w:t>
      </w:r>
      <w:r w:rsidRPr="00745227">
        <w:t xml:space="preserve">with residents and their families to clarify the goals of </w:t>
      </w:r>
      <w:proofErr w:type="gramStart"/>
      <w:r w:rsidRPr="00745227">
        <w:t>care</w:t>
      </w:r>
      <w:proofErr w:type="gramEnd"/>
      <w:r w:rsidRPr="00745227">
        <w:t xml:space="preserve"> </w:t>
      </w:r>
    </w:p>
    <w:p w14:paraId="3248E9CD" w14:textId="16680441" w:rsidR="00BF2C80" w:rsidRPr="00E91FAF" w:rsidRDefault="00BF2C80" w:rsidP="00337FB8">
      <w:pPr>
        <w:pStyle w:val="ListContinue"/>
      </w:pPr>
      <w:r w:rsidRPr="00E91FAF">
        <w:t>Care plan review</w:t>
      </w:r>
      <w:r w:rsidR="0033615E" w:rsidRPr="00E91FAF">
        <w:t>s</w:t>
      </w:r>
      <w:r w:rsidRPr="00E91FAF">
        <w:t xml:space="preserve"> </w:t>
      </w:r>
      <w:r w:rsidR="0033615E" w:rsidRPr="00E91FAF">
        <w:t xml:space="preserve">to </w:t>
      </w:r>
      <w:r w:rsidRPr="00E91FAF">
        <w:t xml:space="preserve">occur </w:t>
      </w:r>
      <w:r w:rsidR="00E85AE9" w:rsidRPr="00E91FAF">
        <w:t xml:space="preserve">regularly along with reassessment when changes in condition occur, including any </w:t>
      </w:r>
      <w:r w:rsidRPr="00E91FAF">
        <w:t>post</w:t>
      </w:r>
      <w:r w:rsidR="003A42C5" w:rsidRPr="00E91FAF">
        <w:t>-</w:t>
      </w:r>
      <w:r w:rsidRPr="00E91FAF">
        <w:t xml:space="preserve">acute episode or deterioration, </w:t>
      </w:r>
      <w:r w:rsidR="0033615E" w:rsidRPr="00E91FAF">
        <w:t>(</w:t>
      </w:r>
      <w:r w:rsidRPr="00E91FAF">
        <w:t>readmission from an</w:t>
      </w:r>
      <w:r w:rsidR="0033615E" w:rsidRPr="00E91FAF">
        <w:t>y</w:t>
      </w:r>
      <w:r w:rsidRPr="00E91FAF">
        <w:t xml:space="preserve"> external care setting</w:t>
      </w:r>
      <w:r w:rsidR="0033615E" w:rsidRPr="00E91FAF">
        <w:t xml:space="preserve">s or post hospitalisation), </w:t>
      </w:r>
      <w:r w:rsidR="00E85AE9" w:rsidRPr="00E91FAF">
        <w:t xml:space="preserve">and </w:t>
      </w:r>
      <w:r w:rsidR="0033615E" w:rsidRPr="00E91FAF">
        <w:t xml:space="preserve">ensuring the right staff are involved to support changed care </w:t>
      </w:r>
      <w:proofErr w:type="gramStart"/>
      <w:r w:rsidR="0033615E" w:rsidRPr="00E91FAF">
        <w:t>needs</w:t>
      </w:r>
      <w:proofErr w:type="gramEnd"/>
    </w:p>
    <w:p w14:paraId="240E590C" w14:textId="2F77ED08" w:rsidR="00813773" w:rsidRPr="00E91FAF" w:rsidRDefault="00F136C9" w:rsidP="00337FB8">
      <w:pPr>
        <w:pStyle w:val="ListContinue"/>
      </w:pPr>
      <w:r w:rsidRPr="00E91FAF">
        <w:t xml:space="preserve">Providing </w:t>
      </w:r>
      <w:r w:rsidR="00B0497A" w:rsidRPr="00E91FAF">
        <w:t>p</w:t>
      </w:r>
      <w:r w:rsidR="00813773" w:rsidRPr="00E91FAF">
        <w:t>alliative</w:t>
      </w:r>
      <w:r w:rsidR="00CD4885" w:rsidRPr="00E91FAF">
        <w:t xml:space="preserve"> care</w:t>
      </w:r>
      <w:r w:rsidR="00813773" w:rsidRPr="00E91FAF">
        <w:t xml:space="preserve"> </w:t>
      </w:r>
      <w:r w:rsidR="00861D36" w:rsidRPr="00E91FAF">
        <w:t>to</w:t>
      </w:r>
      <w:r w:rsidR="00902EEC" w:rsidRPr="00E91FAF">
        <w:t xml:space="preserve"> </w:t>
      </w:r>
      <w:r w:rsidR="003551F9" w:rsidRPr="00E91FAF">
        <w:t>support</w:t>
      </w:r>
      <w:r w:rsidR="00902EEC" w:rsidRPr="00E91FAF">
        <w:t xml:space="preserve"> resident’s </w:t>
      </w:r>
      <w:r w:rsidR="003551F9" w:rsidRPr="00E91FAF">
        <w:t>care and dignity at end of life,</w:t>
      </w:r>
      <w:r w:rsidR="00813773" w:rsidRPr="00E91FAF">
        <w:t xml:space="preserve"> </w:t>
      </w:r>
      <w:r w:rsidR="004672F0" w:rsidRPr="00E91FAF">
        <w:t xml:space="preserve">including measures for comfort </w:t>
      </w:r>
      <w:r w:rsidR="00390730" w:rsidRPr="00E91FAF">
        <w:t xml:space="preserve">under the direction/supervision of a </w:t>
      </w:r>
      <w:r w:rsidR="004672F0" w:rsidRPr="00E91FAF">
        <w:t xml:space="preserve">doctor or </w:t>
      </w:r>
      <w:r w:rsidR="00813773" w:rsidRPr="00E91FAF">
        <w:t xml:space="preserve">specialist palliative care </w:t>
      </w:r>
      <w:proofErr w:type="gramStart"/>
      <w:r w:rsidR="00813773" w:rsidRPr="00E91FAF">
        <w:t>service</w:t>
      </w:r>
      <w:proofErr w:type="gramEnd"/>
      <w:r w:rsidR="00813773" w:rsidRPr="00E91FAF">
        <w:t xml:space="preserve"> </w:t>
      </w:r>
    </w:p>
    <w:p w14:paraId="557AD74F" w14:textId="0EB7ED63" w:rsidR="00813773" w:rsidRPr="00AB75F7" w:rsidRDefault="00813773" w:rsidP="00337FB8">
      <w:pPr>
        <w:pStyle w:val="ListContinue"/>
      </w:pPr>
      <w:r w:rsidRPr="00E91FAF">
        <w:t>Medication management and administration (including Schedule 8) and pain management consistent with quality use of medicines guidelines</w:t>
      </w:r>
      <w:r w:rsidR="00D06EC9" w:rsidRPr="00AB75F7">
        <w:rPr>
          <w:rStyle w:val="FootnoteReference"/>
          <w:rFonts w:eastAsia="Calibri" w:cs="Arial"/>
          <w:sz w:val="24"/>
          <w:szCs w:val="24"/>
        </w:rPr>
        <w:footnoteReference w:id="9"/>
      </w:r>
    </w:p>
    <w:p w14:paraId="64A2C325" w14:textId="0B937DCA" w:rsidR="00813773" w:rsidRPr="00813773" w:rsidRDefault="00813773" w:rsidP="00337FB8">
      <w:pPr>
        <w:pStyle w:val="ListContinue"/>
      </w:pPr>
      <w:r w:rsidRPr="00AB75F7">
        <w:t xml:space="preserve">Prevention, </w:t>
      </w:r>
      <w:proofErr w:type="gramStart"/>
      <w:r w:rsidR="00516D9D" w:rsidRPr="00245803">
        <w:t>identification</w:t>
      </w:r>
      <w:proofErr w:type="gramEnd"/>
      <w:r w:rsidR="00516D9D" w:rsidRPr="00AB75F7">
        <w:t xml:space="preserve"> </w:t>
      </w:r>
      <w:r w:rsidRPr="00AB75F7">
        <w:t xml:space="preserve">and </w:t>
      </w:r>
      <w:r w:rsidR="0033615E">
        <w:t xml:space="preserve">response to </w:t>
      </w:r>
      <w:r w:rsidR="00B0497A">
        <w:t>clinical deterioration</w:t>
      </w:r>
      <w:r w:rsidR="008B0D0A">
        <w:rPr>
          <w:rStyle w:val="FootnoteReference"/>
          <w:rFonts w:eastAsia="Calibri" w:cs="Arial"/>
          <w:sz w:val="24"/>
          <w:szCs w:val="24"/>
        </w:rPr>
        <w:footnoteReference w:id="10"/>
      </w:r>
      <w:r w:rsidR="0033615E">
        <w:t xml:space="preserve"> and other risks to wellbeing</w:t>
      </w:r>
      <w:r w:rsidR="00B0497A">
        <w:t xml:space="preserve">, including </w:t>
      </w:r>
      <w:r w:rsidRPr="00813773">
        <w:t>but not limited to:</w:t>
      </w:r>
    </w:p>
    <w:p w14:paraId="53254D4A" w14:textId="344D7019" w:rsidR="00813773" w:rsidRDefault="004F0D8B" w:rsidP="00337FB8">
      <w:pPr>
        <w:pStyle w:val="ListBullet2"/>
      </w:pPr>
      <w:r>
        <w:t>f</w:t>
      </w:r>
      <w:r w:rsidR="00813773" w:rsidRPr="00813773">
        <w:t>alls</w:t>
      </w:r>
      <w:r>
        <w:t xml:space="preserve"> and </w:t>
      </w:r>
      <w:proofErr w:type="gramStart"/>
      <w:r>
        <w:t>mobility</w:t>
      </w:r>
      <w:proofErr w:type="gramEnd"/>
    </w:p>
    <w:p w14:paraId="08188EA3" w14:textId="52826C5D" w:rsidR="004F0D8B" w:rsidRDefault="004F0D8B" w:rsidP="00337FB8">
      <w:pPr>
        <w:pStyle w:val="ListBullet2"/>
      </w:pPr>
      <w:r>
        <w:t>continence</w:t>
      </w:r>
    </w:p>
    <w:p w14:paraId="1879EFC0" w14:textId="461D8F6B" w:rsidR="003A42C5" w:rsidRDefault="003A42C5" w:rsidP="00337FB8">
      <w:pPr>
        <w:pStyle w:val="ListBullet2"/>
      </w:pPr>
      <w:r>
        <w:t>pressure injury</w:t>
      </w:r>
      <w:r w:rsidR="004F0D8B">
        <w:t xml:space="preserve"> and wounds</w:t>
      </w:r>
    </w:p>
    <w:p w14:paraId="7713E717" w14:textId="7DE92336" w:rsidR="004F0D8B" w:rsidRPr="00813773" w:rsidRDefault="004F0D8B" w:rsidP="00337FB8">
      <w:pPr>
        <w:pStyle w:val="ListBullet2"/>
      </w:pPr>
      <w:r>
        <w:t>oral health</w:t>
      </w:r>
    </w:p>
    <w:p w14:paraId="5912EA78" w14:textId="73F8B74A" w:rsidR="00813773" w:rsidRDefault="00813773" w:rsidP="00337FB8">
      <w:pPr>
        <w:pStyle w:val="ListBullet2"/>
      </w:pPr>
      <w:r w:rsidRPr="00813773">
        <w:t>weight loss</w:t>
      </w:r>
    </w:p>
    <w:p w14:paraId="279C88A5" w14:textId="46C3EC69" w:rsidR="004F0D8B" w:rsidRPr="00813773" w:rsidRDefault="004F0D8B" w:rsidP="00337FB8">
      <w:pPr>
        <w:pStyle w:val="ListBullet2"/>
      </w:pPr>
      <w:r>
        <w:t>malnutrition and dehydration</w:t>
      </w:r>
    </w:p>
    <w:p w14:paraId="45B9EE96" w14:textId="72E8CAC9" w:rsidR="00813773" w:rsidRDefault="00EF7830" w:rsidP="00337FB8">
      <w:pPr>
        <w:pStyle w:val="ListBullet2"/>
      </w:pPr>
      <w:r>
        <w:t xml:space="preserve">confusion and </w:t>
      </w:r>
      <w:r w:rsidR="00813773" w:rsidRPr="00813773">
        <w:t>delirium</w:t>
      </w:r>
    </w:p>
    <w:p w14:paraId="67B886FD" w14:textId="5C3A3726" w:rsidR="003A42C5" w:rsidRDefault="003A42C5" w:rsidP="00337FB8">
      <w:pPr>
        <w:pStyle w:val="ListBullet2"/>
      </w:pPr>
      <w:r>
        <w:t>medication adverse effects</w:t>
      </w:r>
    </w:p>
    <w:p w14:paraId="5C283FB5" w14:textId="65514C96" w:rsidR="00611EF8" w:rsidRDefault="00611EF8" w:rsidP="00337FB8">
      <w:pPr>
        <w:pStyle w:val="ListBullet2"/>
      </w:pPr>
      <w:r>
        <w:t>cognitive decline</w:t>
      </w:r>
    </w:p>
    <w:p w14:paraId="7AF40B87" w14:textId="45DD5C21" w:rsidR="004F0D8B" w:rsidRPr="00245803" w:rsidRDefault="004F0D8B" w:rsidP="00337FB8">
      <w:pPr>
        <w:pStyle w:val="ListBullet2"/>
      </w:pPr>
      <w:r w:rsidRPr="00245803">
        <w:lastRenderedPageBreak/>
        <w:t>mental</w:t>
      </w:r>
      <w:r w:rsidR="00AE777E" w:rsidRPr="00245803">
        <w:t xml:space="preserve"> and emotional health</w:t>
      </w:r>
    </w:p>
    <w:p w14:paraId="0902C70A" w14:textId="64D785F3" w:rsidR="00813773" w:rsidRDefault="00813773" w:rsidP="00337FB8">
      <w:pPr>
        <w:pStyle w:val="ListBullet2"/>
      </w:pPr>
      <w:r w:rsidRPr="00813773">
        <w:t>difficulties with speech</w:t>
      </w:r>
      <w:r w:rsidR="00360291">
        <w:t>, choking</w:t>
      </w:r>
      <w:r w:rsidRPr="00813773">
        <w:t xml:space="preserve"> and </w:t>
      </w:r>
      <w:proofErr w:type="gramStart"/>
      <w:r w:rsidRPr="00813773">
        <w:t>swallowing</w:t>
      </w:r>
      <w:proofErr w:type="gramEnd"/>
      <w:r w:rsidRPr="00813773">
        <w:t xml:space="preserve"> </w:t>
      </w:r>
    </w:p>
    <w:p w14:paraId="1272265A" w14:textId="5824368D" w:rsidR="00EF7830" w:rsidRDefault="00EF7830" w:rsidP="00337FB8">
      <w:pPr>
        <w:pStyle w:val="ListBullet2"/>
      </w:pPr>
      <w:r>
        <w:t>pain and distress</w:t>
      </w:r>
    </w:p>
    <w:p w14:paraId="4A9A763E" w14:textId="0023A27A" w:rsidR="00813773" w:rsidRPr="00813773" w:rsidRDefault="00AA29A3" w:rsidP="00337FB8">
      <w:pPr>
        <w:pStyle w:val="ListContinue"/>
      </w:pPr>
      <w:r>
        <w:t>Providing care for</w:t>
      </w:r>
      <w:r w:rsidRPr="0064507B">
        <w:t xml:space="preserve"> people living with </w:t>
      </w:r>
      <w:r w:rsidR="00B32B8C">
        <w:t xml:space="preserve">all stages of </w:t>
      </w:r>
      <w:r w:rsidRPr="0064507B">
        <w:t xml:space="preserve">dementia </w:t>
      </w:r>
      <w:r>
        <w:t xml:space="preserve">that supports their comfort and dignity, including </w:t>
      </w:r>
      <w:r w:rsidRPr="0064507B">
        <w:t xml:space="preserve">managing behavioural </w:t>
      </w:r>
      <w:r w:rsidR="00C15663">
        <w:t xml:space="preserve">and psychological symptoms of dementia </w:t>
      </w:r>
      <w:r>
        <w:t>using non-pharmacological and pharmacological methods (where required).</w:t>
      </w:r>
      <w:r w:rsidRPr="0064507B" w:rsidDel="00AA29A3">
        <w:t xml:space="preserve"> </w:t>
      </w:r>
    </w:p>
    <w:p w14:paraId="22B6F76D" w14:textId="615D31CE" w:rsidR="00813773" w:rsidRPr="00792C2E" w:rsidRDefault="00813773" w:rsidP="00337FB8">
      <w:pPr>
        <w:pStyle w:val="ListContinue"/>
      </w:pPr>
      <w:r w:rsidRPr="00D06EC9">
        <w:t>Replacement of medical devices</w:t>
      </w:r>
      <w:r w:rsidR="00636A09">
        <w:rPr>
          <w:rStyle w:val="FootnoteReference"/>
          <w:rFonts w:eastAsia="Calibri" w:cs="Arial"/>
          <w:sz w:val="24"/>
          <w:szCs w:val="24"/>
        </w:rPr>
        <w:footnoteReference w:id="11"/>
      </w:r>
      <w:r w:rsidRPr="00D06EC9">
        <w:t xml:space="preserve"> including but not limited to:</w:t>
      </w:r>
    </w:p>
    <w:p w14:paraId="603ECE56" w14:textId="77777777" w:rsidR="00813773" w:rsidRPr="00FD52B0" w:rsidRDefault="00813773" w:rsidP="00337FB8">
      <w:pPr>
        <w:pStyle w:val="ListBullet2"/>
      </w:pPr>
      <w:r w:rsidRPr="00FD52B0">
        <w:t>urinary catheter</w:t>
      </w:r>
    </w:p>
    <w:p w14:paraId="647EACDB" w14:textId="77777777" w:rsidR="00813773" w:rsidRPr="00636A09" w:rsidRDefault="00813773" w:rsidP="00337FB8">
      <w:pPr>
        <w:pStyle w:val="ListBullet2"/>
      </w:pPr>
      <w:r w:rsidRPr="00636A09">
        <w:t>percutaneous feeding tube</w:t>
      </w:r>
    </w:p>
    <w:p w14:paraId="6ABA31CF" w14:textId="0E58AC66" w:rsidR="00813773" w:rsidRPr="00636A09" w:rsidRDefault="00F015BE" w:rsidP="00337FB8">
      <w:pPr>
        <w:pStyle w:val="ListBullet2"/>
      </w:pPr>
      <w:r w:rsidRPr="00636A09">
        <w:t xml:space="preserve">simple and </w:t>
      </w:r>
      <w:r w:rsidR="00813773" w:rsidRPr="00636A09">
        <w:t xml:space="preserve">complex wound management </w:t>
      </w:r>
      <w:r w:rsidRPr="00636A09">
        <w:t xml:space="preserve">including </w:t>
      </w:r>
      <w:r w:rsidR="00813773" w:rsidRPr="00636A09">
        <w:t xml:space="preserve">management of negative pressure </w:t>
      </w:r>
      <w:proofErr w:type="gramStart"/>
      <w:r w:rsidR="00813773" w:rsidRPr="00636A09">
        <w:t>devices</w:t>
      </w:r>
      <w:proofErr w:type="gramEnd"/>
    </w:p>
    <w:p w14:paraId="0ADAFC30" w14:textId="022EC655" w:rsidR="000118B2" w:rsidRPr="00D530CA" w:rsidRDefault="000118B2" w:rsidP="00337FB8">
      <w:pPr>
        <w:pStyle w:val="ListContinue"/>
      </w:pPr>
      <w:r w:rsidRPr="00D530CA">
        <w:t xml:space="preserve">Provide </w:t>
      </w:r>
      <w:r w:rsidR="00745227">
        <w:t xml:space="preserve">access to </w:t>
      </w:r>
      <w:r w:rsidRPr="00D530CA">
        <w:t xml:space="preserve">medical consultation and intervention, including organising </w:t>
      </w:r>
      <w:r w:rsidR="003E6278">
        <w:t xml:space="preserve">of </w:t>
      </w:r>
      <w:r w:rsidRPr="00D530CA">
        <w:t xml:space="preserve">transport to appointments, including but not limited to </w:t>
      </w:r>
    </w:p>
    <w:p w14:paraId="0E097C9B" w14:textId="7D534523" w:rsidR="000118B2" w:rsidRDefault="000118B2" w:rsidP="00337FB8">
      <w:pPr>
        <w:pStyle w:val="ListBullet2"/>
      </w:pPr>
      <w:r w:rsidRPr="00D530CA">
        <w:t>resident’s regular GP</w:t>
      </w:r>
    </w:p>
    <w:p w14:paraId="1CFDFE82" w14:textId="0DDD7DF3" w:rsidR="000118B2" w:rsidRPr="00D530CA" w:rsidRDefault="000118B2" w:rsidP="00337FB8">
      <w:pPr>
        <w:pStyle w:val="ListBullet2"/>
      </w:pPr>
      <w:r w:rsidRPr="00D530CA">
        <w:t>treating specialist</w:t>
      </w:r>
    </w:p>
    <w:p w14:paraId="57197D8B" w14:textId="77777777" w:rsidR="000118B2" w:rsidRPr="00D530CA" w:rsidRDefault="000118B2" w:rsidP="00337FB8">
      <w:pPr>
        <w:pStyle w:val="ListBullet2"/>
      </w:pPr>
      <w:r w:rsidRPr="00D530CA">
        <w:t>dentist</w:t>
      </w:r>
    </w:p>
    <w:p w14:paraId="41FF78DF" w14:textId="467D7CE5" w:rsidR="005402F5" w:rsidRDefault="000118B2" w:rsidP="00337FB8">
      <w:pPr>
        <w:pStyle w:val="ListBullet2"/>
      </w:pPr>
      <w:r w:rsidRPr="00D530CA">
        <w:t>regular medical or diagnostic appointments</w:t>
      </w:r>
      <w:r w:rsidR="005402F5">
        <w:t>.</w:t>
      </w:r>
    </w:p>
    <w:p w14:paraId="72875C24" w14:textId="053591FF" w:rsidR="00902E47" w:rsidRDefault="00902E47" w:rsidP="00337FB8">
      <w:pPr>
        <w:pStyle w:val="ListContinue"/>
      </w:pPr>
      <w:r>
        <w:t>Provide a</w:t>
      </w:r>
      <w:r w:rsidR="00615BCF">
        <w:t>n allied health</w:t>
      </w:r>
      <w:r>
        <w:t xml:space="preserve"> therapy program</w:t>
      </w:r>
      <w:r w:rsidR="006B1524">
        <w:t xml:space="preserve"> </w:t>
      </w:r>
      <w:r w:rsidR="00615BCF">
        <w:t>designed to maintain and/or restore a resident’s ability to perform daily tasks for themselves.</w:t>
      </w:r>
      <w:r w:rsidR="00BE6EA4">
        <w:t xml:space="preserve"> This excludes post</w:t>
      </w:r>
      <w:r w:rsidR="008A10BD">
        <w:t>-</w:t>
      </w:r>
      <w:r w:rsidR="00BE6EA4">
        <w:t>acute care rehabilitation.</w:t>
      </w:r>
    </w:p>
    <w:p w14:paraId="63AE8BAE" w14:textId="6CED7774" w:rsidR="00BE6EA4" w:rsidRPr="001D281B" w:rsidRDefault="00BE6EA4" w:rsidP="00337FB8">
      <w:pPr>
        <w:pStyle w:val="ListContinue"/>
        <w:rPr>
          <w:rFonts w:eastAsia="Calibri"/>
        </w:rPr>
      </w:pPr>
      <w:proofErr w:type="gramStart"/>
      <w:r>
        <w:t>Provide assistance</w:t>
      </w:r>
      <w:proofErr w:type="gramEnd"/>
      <w:r>
        <w:t xml:space="preserve"> in accessing other allied health care which does not form part of the resident’s therapy program.</w:t>
      </w:r>
    </w:p>
    <w:p w14:paraId="5D27B7B9" w14:textId="38425473" w:rsidR="004A2342" w:rsidRPr="00813773" w:rsidRDefault="00C5350A" w:rsidP="00337FB8">
      <w:pPr>
        <w:pStyle w:val="ListContinue"/>
        <w:rPr>
          <w:rFonts w:eastAsia="Calibri"/>
        </w:rPr>
      </w:pPr>
      <w:r>
        <w:rPr>
          <w:rFonts w:eastAsia="Calibri"/>
        </w:rPr>
        <w:t>Ensure all staff are trained in Infection Prevention and Control (IPC) and a lead</w:t>
      </w:r>
      <w:r>
        <w:rPr>
          <w:rStyle w:val="FootnoteReference"/>
          <w:rFonts w:eastAsia="Calibri" w:cs="Arial"/>
          <w:sz w:val="24"/>
          <w:szCs w:val="24"/>
        </w:rPr>
        <w:footnoteReference w:id="12"/>
      </w:r>
      <w:r>
        <w:rPr>
          <w:rFonts w:eastAsia="Calibri"/>
        </w:rPr>
        <w:t xml:space="preserve"> is appointed to </w:t>
      </w:r>
      <w:r w:rsidR="00D06EC9">
        <w:rPr>
          <w:rFonts w:eastAsia="Calibri"/>
        </w:rPr>
        <w:t xml:space="preserve">oversee </w:t>
      </w:r>
      <w:r>
        <w:rPr>
          <w:rFonts w:eastAsia="Calibri"/>
        </w:rPr>
        <w:t xml:space="preserve">the IPC program </w:t>
      </w:r>
      <w:r w:rsidR="00D06EC9">
        <w:rPr>
          <w:rFonts w:eastAsia="Calibri"/>
        </w:rPr>
        <w:t xml:space="preserve">and its continuous </w:t>
      </w:r>
      <w:proofErr w:type="gramStart"/>
      <w:r w:rsidR="00D06EC9">
        <w:rPr>
          <w:rFonts w:eastAsia="Calibri"/>
        </w:rPr>
        <w:t>implementation</w:t>
      </w:r>
      <w:proofErr w:type="gramEnd"/>
    </w:p>
    <w:p w14:paraId="6E65232E" w14:textId="63535EF2" w:rsidR="00813773" w:rsidRDefault="00813773" w:rsidP="00337FB8">
      <w:pPr>
        <w:pStyle w:val="ListContinue"/>
        <w:rPr>
          <w:rFonts w:eastAsia="Calibri"/>
        </w:rPr>
      </w:pPr>
      <w:r w:rsidRPr="00813773">
        <w:rPr>
          <w:rFonts w:eastAsia="Calibri"/>
        </w:rPr>
        <w:t>Provision of</w:t>
      </w:r>
      <w:r w:rsidR="00205B84">
        <w:rPr>
          <w:rFonts w:eastAsia="Calibri"/>
        </w:rPr>
        <w:t xml:space="preserve"> fit-for-purpose</w:t>
      </w:r>
      <w:r w:rsidRPr="00813773">
        <w:rPr>
          <w:rFonts w:eastAsia="Calibri"/>
        </w:rPr>
        <w:t xml:space="preserve"> aids</w:t>
      </w:r>
      <w:r w:rsidR="009D5E0F">
        <w:rPr>
          <w:rFonts w:eastAsia="Calibri"/>
        </w:rPr>
        <w:t xml:space="preserve"> and </w:t>
      </w:r>
      <w:r w:rsidRPr="00813773">
        <w:rPr>
          <w:rFonts w:eastAsia="Calibri"/>
        </w:rPr>
        <w:t>equipment</w:t>
      </w:r>
      <w:r w:rsidR="00205B84">
        <w:rPr>
          <w:rFonts w:eastAsia="Calibri"/>
        </w:rPr>
        <w:t xml:space="preserve"> that meets a resident’s assessed care needs</w:t>
      </w:r>
      <w:r w:rsidR="001D281B">
        <w:rPr>
          <w:rFonts w:eastAsia="Calibri"/>
        </w:rPr>
        <w:t xml:space="preserve">, </w:t>
      </w:r>
      <w:r w:rsidR="00CE261E">
        <w:rPr>
          <w:rFonts w:eastAsia="Calibri"/>
        </w:rPr>
        <w:t xml:space="preserve">excluding </w:t>
      </w:r>
      <w:r w:rsidR="00205B84">
        <w:rPr>
          <w:rFonts w:eastAsia="Calibri"/>
        </w:rPr>
        <w:t xml:space="preserve">motorised wheelchairs and custom-made mobility </w:t>
      </w:r>
      <w:r w:rsidR="009D5E0F">
        <w:rPr>
          <w:rFonts w:eastAsia="Calibri"/>
        </w:rPr>
        <w:t>aids</w:t>
      </w:r>
      <w:r w:rsidR="00205B84">
        <w:rPr>
          <w:rFonts w:eastAsia="Calibri"/>
        </w:rPr>
        <w:t>.</w:t>
      </w:r>
    </w:p>
    <w:p w14:paraId="38258220" w14:textId="37BDD556" w:rsidR="00E91FAF" w:rsidRPr="00813773" w:rsidRDefault="00E91FAF" w:rsidP="00337FB8">
      <w:pPr>
        <w:pStyle w:val="ListContinue"/>
        <w:rPr>
          <w:rFonts w:eastAsia="Calibri"/>
        </w:rPr>
      </w:pPr>
      <w:r w:rsidRPr="003537F8">
        <w:rPr>
          <w:rFonts w:eastAsia="Calibri"/>
        </w:rPr>
        <w:t>Undertake health promotion activities, including providing information on diet, exercise and vaccinations, and condition specific prevention (for example, to reduce drug and alcohol misuse and smoking).</w:t>
      </w:r>
    </w:p>
    <w:p w14:paraId="79DADD8F" w14:textId="77777777" w:rsidR="00E91FAF" w:rsidRPr="00444D44" w:rsidRDefault="00D06EC9" w:rsidP="00337FB8">
      <w:pPr>
        <w:pStyle w:val="ListContinue"/>
      </w:pPr>
      <w:r w:rsidRPr="004B6104">
        <w:rPr>
          <w:rFonts w:eastAsia="Calibri"/>
        </w:rPr>
        <w:t>Enable lifestyle enhancements and participation to ensure quality of life and</w:t>
      </w:r>
      <w:r w:rsidRPr="0017545F">
        <w:rPr>
          <w:rFonts w:eastAsia="Calibri"/>
        </w:rPr>
        <w:t xml:space="preserve"> psychosocial wellbeing is maintained.</w:t>
      </w:r>
    </w:p>
    <w:p w14:paraId="0C99024D" w14:textId="30459E69" w:rsidR="00813773" w:rsidRPr="00A0505C" w:rsidRDefault="00C5350A" w:rsidP="00337FB8">
      <w:pPr>
        <w:numPr>
          <w:ilvl w:val="0"/>
          <w:numId w:val="1"/>
        </w:numPr>
        <w:spacing w:before="240" w:after="0" w:line="240" w:lineRule="auto"/>
        <w:contextualSpacing/>
        <w:rPr>
          <w:rFonts w:eastAsia="Times New Roman" w:cs="Arial"/>
          <w:b/>
          <w:bCs/>
          <w:sz w:val="24"/>
          <w:szCs w:val="24"/>
        </w:rPr>
      </w:pPr>
      <w:r w:rsidRPr="00A0505C">
        <w:rPr>
          <w:rFonts w:eastAsia="Times New Roman" w:cs="Arial"/>
          <w:b/>
          <w:bCs/>
          <w:sz w:val="24"/>
          <w:szCs w:val="24"/>
        </w:rPr>
        <w:br w:type="page"/>
      </w:r>
    </w:p>
    <w:p w14:paraId="64FA0DED" w14:textId="21FC1055" w:rsidR="00813773" w:rsidRPr="000C11AB" w:rsidRDefault="00261F95" w:rsidP="00444D44">
      <w:pPr>
        <w:pStyle w:val="Heading2"/>
      </w:pPr>
      <w:r w:rsidRPr="000C11AB">
        <w:lastRenderedPageBreak/>
        <w:t>D</w:t>
      </w:r>
      <w:r w:rsidR="00813773" w:rsidRPr="000C11AB">
        <w:t>elineation of clinical roles and responsibilities – Community aged care providers</w:t>
      </w:r>
      <w:r w:rsidR="00815BBF" w:rsidRPr="000C11AB">
        <w:footnoteReference w:id="13"/>
      </w:r>
    </w:p>
    <w:p w14:paraId="67F521A6" w14:textId="2F3C65D6" w:rsidR="00813773" w:rsidRPr="000C11AB" w:rsidRDefault="00813773" w:rsidP="00444D44">
      <w:r w:rsidRPr="000C11AB">
        <w:t>Clinical care provided or access provided</w:t>
      </w:r>
      <w:r w:rsidR="00013A64" w:rsidRPr="000C11AB">
        <w:t xml:space="preserve"> </w:t>
      </w:r>
      <w:r w:rsidR="00535FAE" w:rsidRPr="000C11AB">
        <w:t>by</w:t>
      </w:r>
      <w:r w:rsidR="00013A64" w:rsidRPr="000C11AB">
        <w:t xml:space="preserve"> community aged care services</w:t>
      </w:r>
      <w:r w:rsidR="006675EF" w:rsidRPr="000C11AB">
        <w:t xml:space="preserve">, </w:t>
      </w:r>
      <w:r w:rsidRPr="000C11AB">
        <w:t xml:space="preserve">with clinical staff </w:t>
      </w:r>
      <w:r w:rsidR="00444D95" w:rsidRPr="000C11AB">
        <w:t>proactively recognising</w:t>
      </w:r>
      <w:r w:rsidRPr="000C11AB">
        <w:t xml:space="preserve"> and responding to deterioration and </w:t>
      </w:r>
      <w:r w:rsidR="00444D95" w:rsidRPr="000C11AB">
        <w:t>changing needs or circumstances</w:t>
      </w:r>
      <w:r w:rsidRPr="000C11AB">
        <w:t xml:space="preserve"> and escalating</w:t>
      </w:r>
      <w:r w:rsidR="00201F4A" w:rsidRPr="000C11AB">
        <w:t xml:space="preserve"> according to protocols</w:t>
      </w:r>
      <w:r w:rsidR="00A00D20" w:rsidRPr="000C11AB">
        <w:t>.</w:t>
      </w:r>
      <w:r w:rsidR="006675EF" w:rsidRPr="000C11AB">
        <w:t xml:space="preserve"> </w:t>
      </w:r>
    </w:p>
    <w:p w14:paraId="42B308DC" w14:textId="7C16042E" w:rsidR="00A00D20" w:rsidRPr="000C11AB" w:rsidRDefault="00A00D20" w:rsidP="00444D44">
      <w:r w:rsidRPr="000C11AB">
        <w:t xml:space="preserve">Below are the types of clinical care provided by community aged care providers. </w:t>
      </w:r>
    </w:p>
    <w:p w14:paraId="4FE32398" w14:textId="45F22723" w:rsidR="003537F8" w:rsidRPr="00337FB8" w:rsidRDefault="00A00D20" w:rsidP="00337FB8">
      <w:pPr>
        <w:pStyle w:val="ListContinue"/>
        <w:numPr>
          <w:ilvl w:val="0"/>
          <w:numId w:val="12"/>
        </w:numPr>
      </w:pPr>
      <w:r w:rsidRPr="00337FB8">
        <w:t>Non</w:t>
      </w:r>
      <w:r w:rsidR="00201F4A" w:rsidRPr="00337FB8">
        <w:t>-</w:t>
      </w:r>
      <w:r w:rsidRPr="00337FB8">
        <w:t xml:space="preserve">acute </w:t>
      </w:r>
      <w:r w:rsidR="00813773" w:rsidRPr="00337FB8">
        <w:t xml:space="preserve">care not </w:t>
      </w:r>
      <w:r w:rsidRPr="00337FB8">
        <w:t xml:space="preserve">requiring </w:t>
      </w:r>
      <w:r w:rsidR="00201F4A" w:rsidRPr="00337FB8">
        <w:t xml:space="preserve">intervention from </w:t>
      </w:r>
      <w:r w:rsidR="00813773" w:rsidRPr="00337FB8">
        <w:t>acute</w:t>
      </w:r>
      <w:r w:rsidRPr="00337FB8">
        <w:t xml:space="preserve"> care</w:t>
      </w:r>
      <w:r w:rsidR="00813773" w:rsidRPr="00337FB8">
        <w:t xml:space="preserve"> </w:t>
      </w:r>
      <w:proofErr w:type="gramStart"/>
      <w:r w:rsidR="00813773" w:rsidRPr="00337FB8">
        <w:t>system</w:t>
      </w:r>
      <w:r w:rsidRPr="00337FB8">
        <w:t>s</w:t>
      </w:r>
      <w:proofErr w:type="gramEnd"/>
      <w:r w:rsidR="00813773" w:rsidRPr="00337FB8">
        <w:t xml:space="preserve"> </w:t>
      </w:r>
    </w:p>
    <w:p w14:paraId="08112B4F" w14:textId="2A296989" w:rsidR="003537F8" w:rsidRPr="00337FB8" w:rsidRDefault="003537F8" w:rsidP="00337FB8">
      <w:pPr>
        <w:pStyle w:val="ListContinue"/>
      </w:pPr>
      <w:r w:rsidRPr="00337FB8">
        <w:t>Provide nursing services carried out by a nurse practitioner, registered nurse, clinical nurse consultants or enrolled nurse acting within their scope of practice.</w:t>
      </w:r>
    </w:p>
    <w:p w14:paraId="4D97E5AD" w14:textId="7F13C321" w:rsidR="00813773" w:rsidRPr="00337FB8" w:rsidRDefault="00813773" w:rsidP="00337FB8">
      <w:pPr>
        <w:pStyle w:val="ListContinue"/>
      </w:pPr>
      <w:r w:rsidRPr="00337FB8">
        <w:t>Nutrition, hydration, meal preparation and diet related care and support</w:t>
      </w:r>
    </w:p>
    <w:p w14:paraId="5752FB48" w14:textId="667998FA" w:rsidR="00813773" w:rsidRPr="00337FB8" w:rsidRDefault="00813773" w:rsidP="00337FB8">
      <w:pPr>
        <w:pStyle w:val="ListContinue"/>
      </w:pPr>
      <w:r w:rsidRPr="00337FB8">
        <w:t xml:space="preserve">Management of skin integrity including wound prevention and management </w:t>
      </w:r>
    </w:p>
    <w:p w14:paraId="257EE667" w14:textId="27CD3381" w:rsidR="00813773" w:rsidRPr="00337FB8" w:rsidRDefault="00813773" w:rsidP="00337FB8">
      <w:pPr>
        <w:pStyle w:val="ListContinue"/>
      </w:pPr>
      <w:r w:rsidRPr="00337FB8">
        <w:t>Continence management</w:t>
      </w:r>
    </w:p>
    <w:p w14:paraId="50330529" w14:textId="6C47710C" w:rsidR="00D06EC9" w:rsidRPr="00337FB8" w:rsidRDefault="000B28D9" w:rsidP="00337FB8">
      <w:pPr>
        <w:pStyle w:val="ListContinue"/>
      </w:pPr>
      <w:r w:rsidRPr="00337FB8">
        <w:t>Safe and quality use of medicines</w:t>
      </w:r>
    </w:p>
    <w:p w14:paraId="1059D0D1" w14:textId="76523366" w:rsidR="00813773" w:rsidRPr="00337FB8" w:rsidRDefault="00813773" w:rsidP="00337FB8">
      <w:pPr>
        <w:pStyle w:val="ListContinue"/>
      </w:pPr>
      <w:r w:rsidRPr="00337FB8">
        <w:t>Mobility and falls prevention and management (including clinical assessment for home modifications)</w:t>
      </w:r>
    </w:p>
    <w:p w14:paraId="60AC9BC5" w14:textId="4AF83D37" w:rsidR="00813773" w:rsidRPr="00337FB8" w:rsidRDefault="00813773" w:rsidP="00337FB8">
      <w:pPr>
        <w:pStyle w:val="ListContinue"/>
      </w:pPr>
      <w:r w:rsidRPr="00337FB8">
        <w:t>Replacement of medical devices</w:t>
      </w:r>
      <w:r w:rsidR="00013A64" w:rsidRPr="00337FB8">
        <w:footnoteReference w:id="14"/>
      </w:r>
      <w:r w:rsidRPr="00337FB8">
        <w:t xml:space="preserve"> (urinary catheter, percutaneous feeding tube, complex wound management including management of negative pressure devices)</w:t>
      </w:r>
    </w:p>
    <w:p w14:paraId="58E0B719" w14:textId="40C50C03" w:rsidR="00813773" w:rsidRPr="00337FB8" w:rsidRDefault="00813773" w:rsidP="00337FB8">
      <w:pPr>
        <w:pStyle w:val="ListContinue"/>
      </w:pPr>
      <w:r w:rsidRPr="00337FB8">
        <w:t>Organising access</w:t>
      </w:r>
      <w:r w:rsidR="00F015BE" w:rsidRPr="00337FB8">
        <w:t xml:space="preserve"> and </w:t>
      </w:r>
      <w:r w:rsidRPr="00337FB8">
        <w:t>referral to other health practitioners</w:t>
      </w:r>
      <w:r w:rsidR="00972888" w:rsidRPr="00337FB8">
        <w:t>,</w:t>
      </w:r>
      <w:r w:rsidRPr="00337FB8">
        <w:t xml:space="preserve"> including transport to clinical services </w:t>
      </w:r>
      <w:r w:rsidR="00972888" w:rsidRPr="00337FB8">
        <w:t xml:space="preserve">which are not already provided under another </w:t>
      </w:r>
      <w:proofErr w:type="gramStart"/>
      <w:r w:rsidR="00972888" w:rsidRPr="00337FB8">
        <w:t>system</w:t>
      </w:r>
      <w:proofErr w:type="gramEnd"/>
    </w:p>
    <w:p w14:paraId="3FDD0E74" w14:textId="5870AFAC" w:rsidR="00813773" w:rsidRPr="00337FB8" w:rsidRDefault="00813773" w:rsidP="00337FB8">
      <w:pPr>
        <w:pStyle w:val="ListContinue"/>
      </w:pPr>
      <w:r w:rsidRPr="00337FB8">
        <w:t>Provision of</w:t>
      </w:r>
      <w:r w:rsidR="00A00D20" w:rsidRPr="00337FB8">
        <w:t xml:space="preserve"> goods, </w:t>
      </w:r>
      <w:proofErr w:type="gramStart"/>
      <w:r w:rsidR="00A00D20" w:rsidRPr="00337FB8">
        <w:t>equipment</w:t>
      </w:r>
      <w:proofErr w:type="gramEnd"/>
      <w:r w:rsidR="00A00D20" w:rsidRPr="00337FB8">
        <w:t xml:space="preserve"> and</w:t>
      </w:r>
      <w:r w:rsidRPr="00337FB8">
        <w:t xml:space="preserve"> Assistive Technology </w:t>
      </w:r>
    </w:p>
    <w:p w14:paraId="1E803FD9" w14:textId="761047DA" w:rsidR="00813773" w:rsidRPr="00337FB8" w:rsidRDefault="00813773" w:rsidP="00337FB8">
      <w:pPr>
        <w:pStyle w:val="ListContinue"/>
      </w:pPr>
      <w:r w:rsidRPr="00337FB8">
        <w:t>Restorative care and reablement and maintenance care</w:t>
      </w:r>
    </w:p>
    <w:p w14:paraId="391E3B27" w14:textId="69A16563" w:rsidR="00813773" w:rsidRPr="00337FB8" w:rsidRDefault="00813773" w:rsidP="00337FB8">
      <w:pPr>
        <w:pStyle w:val="ListContinue"/>
      </w:pPr>
      <w:r w:rsidRPr="00337FB8">
        <w:t>Psychosocial supports, occupational therapy, social work</w:t>
      </w:r>
      <w:r w:rsidR="004A2342" w:rsidRPr="00337FB8">
        <w:t>, physiotherapy</w:t>
      </w:r>
      <w:r w:rsidR="000118B2" w:rsidRPr="00337FB8">
        <w:t xml:space="preserve">, </w:t>
      </w:r>
      <w:r w:rsidRPr="00337FB8">
        <w:t>psychology interventions</w:t>
      </w:r>
      <w:r w:rsidR="000118B2" w:rsidRPr="00337FB8">
        <w:t xml:space="preserve">, </w:t>
      </w:r>
      <w:proofErr w:type="gramStart"/>
      <w:r w:rsidR="000118B2" w:rsidRPr="00337FB8">
        <w:t>dietetics</w:t>
      </w:r>
      <w:proofErr w:type="gramEnd"/>
      <w:r w:rsidR="000118B2" w:rsidRPr="00337FB8">
        <w:t xml:space="preserve"> and speech pathology</w:t>
      </w:r>
    </w:p>
    <w:p w14:paraId="57D02068" w14:textId="6FBB7615" w:rsidR="00813773" w:rsidRPr="00337FB8" w:rsidRDefault="00813773" w:rsidP="00337FB8">
      <w:pPr>
        <w:pStyle w:val="ListContinue"/>
      </w:pPr>
      <w:r w:rsidRPr="00337FB8">
        <w:t xml:space="preserve">Dementia care and management </w:t>
      </w:r>
    </w:p>
    <w:p w14:paraId="66781C6E" w14:textId="05ADEBC8" w:rsidR="00813773" w:rsidRPr="00337FB8" w:rsidRDefault="00815BBF" w:rsidP="00337FB8">
      <w:pPr>
        <w:pStyle w:val="ListContinue"/>
      </w:pPr>
      <w:r w:rsidRPr="00337FB8">
        <w:t>General</w:t>
      </w:r>
      <w:r w:rsidR="00FD0BE3" w:rsidRPr="00337FB8">
        <w:t>ist</w:t>
      </w:r>
      <w:r w:rsidRPr="00337FB8">
        <w:t xml:space="preserve"> p</w:t>
      </w:r>
      <w:r w:rsidR="00813773" w:rsidRPr="00337FB8">
        <w:t>alliative care</w:t>
      </w:r>
      <w:r w:rsidR="008D5CBA" w:rsidRPr="00337FB8">
        <w:t xml:space="preserve"> </w:t>
      </w:r>
      <w:r w:rsidRPr="00337FB8">
        <w:t>(</w:t>
      </w:r>
      <w:r w:rsidR="00AA29A3" w:rsidRPr="00337FB8">
        <w:t xml:space="preserve">complementary and </w:t>
      </w:r>
      <w:r w:rsidR="00EB3DE4" w:rsidRPr="00337FB8">
        <w:t xml:space="preserve">in addition to any </w:t>
      </w:r>
      <w:r w:rsidR="008D5CBA" w:rsidRPr="00337FB8">
        <w:t xml:space="preserve">specialist palliative care </w:t>
      </w:r>
      <w:r w:rsidR="00A8297C" w:rsidRPr="00337FB8">
        <w:t>intervention</w:t>
      </w:r>
      <w:r w:rsidR="00EB3DE4" w:rsidRPr="00337FB8">
        <w:t>s provided by other services)</w:t>
      </w:r>
      <w:r w:rsidR="00A8297C" w:rsidRPr="00337FB8">
        <w:t xml:space="preserve"> </w:t>
      </w:r>
    </w:p>
    <w:p w14:paraId="28E7A252" w14:textId="7C3B1DB6" w:rsidR="00813773" w:rsidRPr="00337FB8" w:rsidRDefault="00813773" w:rsidP="00337FB8">
      <w:pPr>
        <w:pStyle w:val="ListContinue"/>
      </w:pPr>
      <w:r w:rsidRPr="00337FB8">
        <w:t xml:space="preserve">Care for </w:t>
      </w:r>
      <w:r w:rsidR="00EB3DE4" w:rsidRPr="00337FB8">
        <w:t>clients</w:t>
      </w:r>
      <w:r w:rsidR="0018782F" w:rsidRPr="00337FB8">
        <w:t xml:space="preserve"> with bariatric support needs</w:t>
      </w:r>
      <w:r w:rsidR="00EB3DE4" w:rsidRPr="00337FB8">
        <w:t>.</w:t>
      </w:r>
      <w:r w:rsidRPr="00337FB8">
        <w:t xml:space="preserve"> </w:t>
      </w:r>
    </w:p>
    <w:p w14:paraId="4D473EED" w14:textId="09AA8208" w:rsidR="00E36631" w:rsidRDefault="00E36631">
      <w:pPr>
        <w:rPr>
          <w:rFonts w:cs="Arial"/>
          <w:color w:val="000000"/>
          <w:sz w:val="24"/>
          <w:szCs w:val="24"/>
        </w:rPr>
      </w:pPr>
      <w:r>
        <w:rPr>
          <w:rFonts w:cs="Arial"/>
          <w:color w:val="000000"/>
          <w:sz w:val="24"/>
          <w:szCs w:val="24"/>
        </w:rPr>
        <w:br w:type="page"/>
      </w:r>
    </w:p>
    <w:p w14:paraId="2F3AA2DA" w14:textId="11C27B86" w:rsidR="007617BD" w:rsidRDefault="00645121" w:rsidP="00337FB8">
      <w:pPr>
        <w:pStyle w:val="Heading2"/>
      </w:pPr>
      <w:r w:rsidRPr="003401D6">
        <w:lastRenderedPageBreak/>
        <w:t>Glossary of terms</w:t>
      </w:r>
    </w:p>
    <w:tbl>
      <w:tblPr>
        <w:tblStyle w:val="TableGrid"/>
        <w:tblW w:w="0" w:type="auto"/>
        <w:tblLook w:val="04A0" w:firstRow="1" w:lastRow="0" w:firstColumn="1" w:lastColumn="0" w:noHBand="0" w:noVBand="1"/>
      </w:tblPr>
      <w:tblGrid>
        <w:gridCol w:w="2405"/>
        <w:gridCol w:w="7378"/>
      </w:tblGrid>
      <w:tr w:rsidR="00CF1EE9" w:rsidRPr="00337FB8" w14:paraId="4ED9D872" w14:textId="77777777" w:rsidTr="00337FB8">
        <w:trPr>
          <w:cnfStyle w:val="100000000000" w:firstRow="1" w:lastRow="0" w:firstColumn="0" w:lastColumn="0" w:oddVBand="0" w:evenVBand="0" w:oddHBand="0" w:evenHBand="0" w:firstRowFirstColumn="0" w:firstRowLastColumn="0" w:lastRowFirstColumn="0" w:lastRowLastColumn="0"/>
          <w:tblHeader/>
        </w:trPr>
        <w:tc>
          <w:tcPr>
            <w:tcW w:w="2405" w:type="dxa"/>
          </w:tcPr>
          <w:p w14:paraId="40A9BACE" w14:textId="4FD170B7" w:rsidR="00CF1EE9" w:rsidRPr="00337FB8" w:rsidRDefault="00CF1EE9" w:rsidP="00337FB8">
            <w:r w:rsidRPr="00337FB8">
              <w:t>Term</w:t>
            </w:r>
          </w:p>
        </w:tc>
        <w:tc>
          <w:tcPr>
            <w:tcW w:w="7378" w:type="dxa"/>
          </w:tcPr>
          <w:p w14:paraId="4A703CD0" w14:textId="1FCD0E45" w:rsidR="00CF1EE9" w:rsidRPr="00337FB8" w:rsidRDefault="00CF1EE9" w:rsidP="00337FB8">
            <w:r w:rsidRPr="00337FB8">
              <w:t>Meaning</w:t>
            </w:r>
          </w:p>
        </w:tc>
      </w:tr>
      <w:tr w:rsidR="00E62B10" w14:paraId="0E5643CE" w14:textId="77777777" w:rsidTr="00337FB8">
        <w:tc>
          <w:tcPr>
            <w:tcW w:w="2405" w:type="dxa"/>
          </w:tcPr>
          <w:p w14:paraId="15C9FB37" w14:textId="52FD773C" w:rsidR="00E62B10" w:rsidRPr="00337FB8" w:rsidRDefault="00E62B10" w:rsidP="00337FB8">
            <w:r w:rsidRPr="00337FB8">
              <w:t>Advanced care directive</w:t>
            </w:r>
          </w:p>
        </w:tc>
        <w:tc>
          <w:tcPr>
            <w:tcW w:w="7378" w:type="dxa"/>
          </w:tcPr>
          <w:p w14:paraId="60D41615" w14:textId="77777777" w:rsidR="00E62B10" w:rsidRPr="00337FB8" w:rsidRDefault="00E62B10" w:rsidP="00337FB8">
            <w:r w:rsidRPr="00337FB8">
              <w:t>A document completed and signed by a competent consumer who still has decision-making capacity regarding their future care and preferences for end-of-life care.</w:t>
            </w:r>
          </w:p>
          <w:p w14:paraId="00B72D6C" w14:textId="436002F0" w:rsidR="00E62B10" w:rsidRPr="00337FB8" w:rsidRDefault="00E62B10" w:rsidP="00337FB8">
            <w:r w:rsidRPr="00337FB8">
              <w:t>In Australia, advance care directives are recognised by specific legislation or common law. Advance care directives can record the person’s preferences for future care and/or appoint a substitute decision-maker to make decisions about the person’s health care.</w:t>
            </w:r>
          </w:p>
        </w:tc>
      </w:tr>
      <w:tr w:rsidR="00CF1EE9" w14:paraId="2DF13DAC" w14:textId="77777777" w:rsidTr="00337FB8">
        <w:tc>
          <w:tcPr>
            <w:tcW w:w="2405" w:type="dxa"/>
          </w:tcPr>
          <w:p w14:paraId="165161F0" w14:textId="388AE5C4" w:rsidR="00CF1EE9" w:rsidRPr="00337FB8" w:rsidRDefault="00E62B10" w:rsidP="00337FB8">
            <w:r w:rsidRPr="00337FB8">
              <w:t>Aged care approved provider</w:t>
            </w:r>
          </w:p>
        </w:tc>
        <w:tc>
          <w:tcPr>
            <w:tcW w:w="7378" w:type="dxa"/>
          </w:tcPr>
          <w:p w14:paraId="69AD4A1B" w14:textId="69F941A8" w:rsidR="00E62B10" w:rsidRPr="00E62B10" w:rsidRDefault="00E62B10" w:rsidP="00E62B10">
            <w:pPr>
              <w:shd w:val="clear" w:color="auto" w:fill="FFFFFF"/>
              <w:spacing w:after="120"/>
              <w:rPr>
                <w:rFonts w:cs="Arial"/>
                <w:color w:val="000000"/>
                <w:sz w:val="24"/>
                <w:szCs w:val="24"/>
              </w:rPr>
            </w:pPr>
            <w:r w:rsidRPr="00337FB8">
              <w:t>As defined in the </w:t>
            </w:r>
            <w:hyperlink r:id="rId13" w:history="1">
              <w:r w:rsidRPr="00337FB8">
                <w:rPr>
                  <w:rStyle w:val="Hyperlink"/>
                </w:rPr>
                <w:t>Aged Care Quality and Safety Commission Act 2018</w:t>
              </w:r>
            </w:hyperlink>
            <w:r w:rsidRPr="00337FB8">
              <w:t> a person</w:t>
            </w:r>
            <w:r w:rsidRPr="00E62B10">
              <w:rPr>
                <w:rFonts w:cs="Arial"/>
                <w:color w:val="000000"/>
                <w:sz w:val="24"/>
                <w:szCs w:val="24"/>
              </w:rPr>
              <w:t xml:space="preserve"> </w:t>
            </w:r>
            <w:r w:rsidRPr="00337FB8">
              <w:t>or body is an approved provider if:</w:t>
            </w:r>
          </w:p>
          <w:p w14:paraId="3800D609" w14:textId="77777777" w:rsidR="00E62B10" w:rsidRPr="00E62B10" w:rsidRDefault="00E62B10" w:rsidP="00337FB8">
            <w:pPr>
              <w:pStyle w:val="ListContinue"/>
              <w:numPr>
                <w:ilvl w:val="0"/>
                <w:numId w:val="13"/>
              </w:numPr>
            </w:pPr>
            <w:r w:rsidRPr="00E62B10">
              <w:t>the person or body:</w:t>
            </w:r>
          </w:p>
          <w:p w14:paraId="131FE426" w14:textId="77777777" w:rsidR="00E62B10" w:rsidRPr="00E62B10" w:rsidRDefault="00E62B10" w:rsidP="00337FB8">
            <w:pPr>
              <w:pStyle w:val="ListContinue2"/>
            </w:pPr>
            <w:r w:rsidRPr="00E62B10">
              <w:t>has been approved as a provider of aged care under section 63D of the Commission Act; or</w:t>
            </w:r>
          </w:p>
          <w:p w14:paraId="49804738" w14:textId="77777777" w:rsidR="00E62B10" w:rsidRPr="00E62B10" w:rsidRDefault="00E62B10" w:rsidP="00337FB8">
            <w:pPr>
              <w:pStyle w:val="ListContinue2"/>
            </w:pPr>
            <w:r w:rsidRPr="00E62B10">
              <w:t>is taken, under paragraph 63F(2)(a), to be an approved provider; and</w:t>
            </w:r>
          </w:p>
          <w:p w14:paraId="5938F8C6" w14:textId="77777777" w:rsidR="00E62B10" w:rsidRPr="00E62B10" w:rsidRDefault="00E62B10" w:rsidP="00337FB8">
            <w:pPr>
              <w:pStyle w:val="ListContinue"/>
            </w:pPr>
            <w:r w:rsidRPr="00E62B10">
              <w:t>the approval of the person or body is in effect.</w:t>
            </w:r>
          </w:p>
          <w:p w14:paraId="4B26E378" w14:textId="4E133657" w:rsidR="00CF1EE9" w:rsidRPr="00E62B10" w:rsidRDefault="00E62B10" w:rsidP="00E62B10">
            <w:pPr>
              <w:shd w:val="clear" w:color="auto" w:fill="FFFFFF"/>
              <w:spacing w:after="120"/>
              <w:rPr>
                <w:rFonts w:cs="Arial"/>
                <w:color w:val="000000"/>
                <w:sz w:val="24"/>
                <w:szCs w:val="24"/>
              </w:rPr>
            </w:pPr>
            <w:r w:rsidRPr="00337FB8">
              <w:t>Approved providers may also be referred to as service providers or providers or aged care</w:t>
            </w:r>
            <w:r w:rsidRPr="00E62B10">
              <w:rPr>
                <w:rFonts w:cs="Arial"/>
                <w:color w:val="000000"/>
                <w:sz w:val="24"/>
                <w:szCs w:val="24"/>
              </w:rPr>
              <w:t xml:space="preserve"> providers.</w:t>
            </w:r>
          </w:p>
        </w:tc>
      </w:tr>
      <w:tr w:rsidR="006675EF" w14:paraId="0447C034" w14:textId="77777777" w:rsidTr="00337FB8">
        <w:tc>
          <w:tcPr>
            <w:tcW w:w="2405" w:type="dxa"/>
          </w:tcPr>
          <w:p w14:paraId="7E957497" w14:textId="0D7271B5" w:rsidR="006675EF" w:rsidRPr="00337FB8" w:rsidRDefault="006675EF" w:rsidP="00337FB8">
            <w:r w:rsidRPr="00337FB8">
              <w:t>Aged care provider</w:t>
            </w:r>
          </w:p>
        </w:tc>
        <w:tc>
          <w:tcPr>
            <w:tcW w:w="7378" w:type="dxa"/>
          </w:tcPr>
          <w:p w14:paraId="258EA132" w14:textId="77777777" w:rsidR="000C11AB" w:rsidRDefault="006675EF" w:rsidP="000C11AB">
            <w:r w:rsidRPr="000C11AB">
              <w:t>An entity which has been approved to provide residential care, home and/or flexible care. Approved providers receive government subsidies for the delivery of care to consumers.</w:t>
            </w:r>
          </w:p>
          <w:p w14:paraId="70790296" w14:textId="412E3AB2" w:rsidR="006675EF" w:rsidRPr="000C11AB" w:rsidRDefault="006675EF" w:rsidP="000C11AB">
            <w:r w:rsidRPr="000C11AB">
              <w:t>A provider might also be referred to as:</w:t>
            </w:r>
          </w:p>
          <w:p w14:paraId="6D6535BE" w14:textId="77777777" w:rsidR="006675EF" w:rsidRDefault="006675EF" w:rsidP="00337FB8">
            <w:pPr>
              <w:pStyle w:val="ListBullet"/>
            </w:pPr>
            <w:r>
              <w:t>an approved provider</w:t>
            </w:r>
          </w:p>
          <w:p w14:paraId="5ECBA099" w14:textId="77777777" w:rsidR="006675EF" w:rsidRDefault="006675EF" w:rsidP="00337FB8">
            <w:pPr>
              <w:pStyle w:val="ListBullet"/>
            </w:pPr>
            <w:r>
              <w:t>a service provider</w:t>
            </w:r>
          </w:p>
          <w:p w14:paraId="46A6B3AD" w14:textId="44DD010C" w:rsidR="006675EF" w:rsidRPr="00E62B10" w:rsidRDefault="006675EF" w:rsidP="00337FB8">
            <w:pPr>
              <w:pStyle w:val="ListBullet"/>
            </w:pPr>
            <w:r>
              <w:t>an organisation.</w:t>
            </w:r>
          </w:p>
        </w:tc>
      </w:tr>
      <w:tr w:rsidR="00E62B10" w14:paraId="7BF01648" w14:textId="77777777" w:rsidTr="00337FB8">
        <w:tc>
          <w:tcPr>
            <w:tcW w:w="2405" w:type="dxa"/>
          </w:tcPr>
          <w:p w14:paraId="3514180A" w14:textId="3A7941E2" w:rsidR="00E62B10" w:rsidRPr="00337FB8" w:rsidRDefault="00E62B10" w:rsidP="00337FB8">
            <w:r w:rsidRPr="00337FB8">
              <w:t>Aged Care Quality and Safety Commission</w:t>
            </w:r>
          </w:p>
        </w:tc>
        <w:tc>
          <w:tcPr>
            <w:tcW w:w="7378" w:type="dxa"/>
          </w:tcPr>
          <w:p w14:paraId="5EEB1777" w14:textId="4C089561" w:rsidR="00E62B10" w:rsidRPr="00337FB8" w:rsidRDefault="00E62B10" w:rsidP="00337FB8">
            <w:r w:rsidRPr="00337FB8">
              <w:t>The national end to end regulator of aged care services, and the primary point of contact for consumers and providers in relation to quality and safety in aged care in Australia.</w:t>
            </w:r>
          </w:p>
        </w:tc>
      </w:tr>
      <w:tr w:rsidR="00E62B10" w14:paraId="7C688EED" w14:textId="77777777" w:rsidTr="00337FB8">
        <w:tc>
          <w:tcPr>
            <w:tcW w:w="2405" w:type="dxa"/>
          </w:tcPr>
          <w:p w14:paraId="08E21C6A" w14:textId="131C3A49" w:rsidR="00E62B10" w:rsidRPr="00337FB8" w:rsidRDefault="00E62B10" w:rsidP="00337FB8">
            <w:r w:rsidRPr="00337FB8">
              <w:t>Carer</w:t>
            </w:r>
          </w:p>
        </w:tc>
        <w:tc>
          <w:tcPr>
            <w:tcW w:w="7378" w:type="dxa"/>
          </w:tcPr>
          <w:p w14:paraId="6568B159" w14:textId="6E22ED31" w:rsidR="00E62B10" w:rsidRPr="00337FB8" w:rsidRDefault="00E62B10" w:rsidP="00337FB8">
            <w:r w:rsidRPr="00337FB8">
              <w:t xml:space="preserve">A person who provides personal care, support and help to a consumer. This does not include members of the organisation’s workforce, or people the organisation contracts or pays to provide those services, or people who provide the services as a volunteer. This definition is in line with the </w:t>
            </w:r>
            <w:r w:rsidR="00815DA5" w:rsidRPr="00337FB8">
              <w:t>Carer Recognition Act 2010</w:t>
            </w:r>
            <w:r w:rsidRPr="00337FB8">
              <w:t>.</w:t>
            </w:r>
          </w:p>
        </w:tc>
      </w:tr>
      <w:tr w:rsidR="00E62B10" w14:paraId="40AEAEAD" w14:textId="77777777" w:rsidTr="00337FB8">
        <w:tc>
          <w:tcPr>
            <w:tcW w:w="2405" w:type="dxa"/>
          </w:tcPr>
          <w:p w14:paraId="6922D2C7" w14:textId="5AC5C1F7" w:rsidR="00E62B10" w:rsidRPr="00337FB8" w:rsidRDefault="00E62B10" w:rsidP="00337FB8">
            <w:r w:rsidRPr="00337FB8">
              <w:t>Clinical care</w:t>
            </w:r>
          </w:p>
        </w:tc>
        <w:tc>
          <w:tcPr>
            <w:tcW w:w="7378" w:type="dxa"/>
          </w:tcPr>
          <w:p w14:paraId="77FD04D1" w14:textId="3B00513D" w:rsidR="00E62B10" w:rsidRPr="00337FB8" w:rsidRDefault="00E62B10" w:rsidP="00337FB8">
            <w:r w:rsidRPr="00337FB8">
              <w:t xml:space="preserve">Health care that encompasses the prevention, treatment and management of illness or injury, as well as the maintenance of psychosocial, </w:t>
            </w:r>
            <w:proofErr w:type="gramStart"/>
            <w:r w:rsidRPr="00337FB8">
              <w:t>mental</w:t>
            </w:r>
            <w:proofErr w:type="gramEnd"/>
            <w:r w:rsidRPr="00337FB8">
              <w:t xml:space="preserve"> and physical well-being. It includes care provided by doctors, nurses, pharmacists, allied health professionals and other regulated health practitioners. Organisations providing clinical care are expected to make sure it is</w:t>
            </w:r>
            <w:r w:rsidR="004524F6" w:rsidRPr="00337FB8">
              <w:t xml:space="preserve"> evidence-based</w:t>
            </w:r>
            <w:r w:rsidRPr="00337FB8">
              <w:t>, meets the consumer’s needs, and optimises the consumer’s health and well-being.</w:t>
            </w:r>
            <w:r w:rsidR="006675EF" w:rsidRPr="00337FB8">
              <w:t xml:space="preserve"> Support workers also assist the provision of care, supervised by health practitioners. </w:t>
            </w:r>
          </w:p>
        </w:tc>
      </w:tr>
      <w:tr w:rsidR="001C7E75" w14:paraId="076E3A67" w14:textId="77777777" w:rsidTr="00337FB8">
        <w:tc>
          <w:tcPr>
            <w:tcW w:w="2405" w:type="dxa"/>
          </w:tcPr>
          <w:p w14:paraId="51A744C2" w14:textId="45B3F5AA" w:rsidR="001C7E75" w:rsidRPr="00337FB8" w:rsidRDefault="001C7E75" w:rsidP="00337FB8">
            <w:r w:rsidRPr="00337FB8">
              <w:t>Community aged care</w:t>
            </w:r>
          </w:p>
        </w:tc>
        <w:tc>
          <w:tcPr>
            <w:tcW w:w="7378" w:type="dxa"/>
          </w:tcPr>
          <w:p w14:paraId="19059D3F" w14:textId="32FD354C" w:rsidR="001C7E75" w:rsidRPr="00337FB8" w:rsidRDefault="001C7E75" w:rsidP="00337FB8">
            <w:r w:rsidRPr="00337FB8">
              <w:t>Australian Government subsidised aged care services to support older people who need assistance to keep living independently at home and in their community. Commonwealth Home Support Programme is the entry-level programme for those who need a low level of support. Home Care Packages are available for those with greater or more complex needs.</w:t>
            </w:r>
          </w:p>
        </w:tc>
      </w:tr>
      <w:tr w:rsidR="00CF1EE9" w14:paraId="695DB9D2" w14:textId="77777777" w:rsidTr="00337FB8">
        <w:tc>
          <w:tcPr>
            <w:tcW w:w="2405" w:type="dxa"/>
          </w:tcPr>
          <w:p w14:paraId="1AD7C97A" w14:textId="4495235C" w:rsidR="00CF1EE9" w:rsidRPr="00337FB8" w:rsidRDefault="00CF1EE9" w:rsidP="00337FB8">
            <w:r w:rsidRPr="00337FB8">
              <w:t>Consumer</w:t>
            </w:r>
          </w:p>
        </w:tc>
        <w:tc>
          <w:tcPr>
            <w:tcW w:w="7378" w:type="dxa"/>
          </w:tcPr>
          <w:p w14:paraId="63590690" w14:textId="125F8DFD" w:rsidR="00CF1EE9" w:rsidRPr="00337FB8" w:rsidRDefault="00CF1EE9" w:rsidP="00337FB8">
            <w:r w:rsidRPr="00337FB8">
              <w:t>A person approved under the Aged Care Act 1997 as a recipient of aged care or a person receiving services under the Commonwealth Home Support Program. Also known as a care recipient or a client. It is inferred that where there are ongoing references to consumers, it should be interpreted to also mean the authorised representative for the consumer (family and carers)</w:t>
            </w:r>
            <w:r w:rsidR="002A26A0" w:rsidRPr="00337FB8">
              <w:t>.</w:t>
            </w:r>
          </w:p>
        </w:tc>
      </w:tr>
      <w:tr w:rsidR="00CF1EE9" w14:paraId="2930D0A9" w14:textId="77777777" w:rsidTr="00337FB8">
        <w:tc>
          <w:tcPr>
            <w:tcW w:w="2405" w:type="dxa"/>
          </w:tcPr>
          <w:p w14:paraId="4BAEA2A0" w14:textId="7564EC5E" w:rsidR="00CF1EE9" w:rsidRPr="00337FB8" w:rsidRDefault="00CF1EE9" w:rsidP="00337FB8">
            <w:r w:rsidRPr="00337FB8">
              <w:lastRenderedPageBreak/>
              <w:t>Older person</w:t>
            </w:r>
          </w:p>
        </w:tc>
        <w:tc>
          <w:tcPr>
            <w:tcW w:w="7378" w:type="dxa"/>
          </w:tcPr>
          <w:p w14:paraId="05A1BF34" w14:textId="7A5191CE" w:rsidR="00CF1EE9" w:rsidRPr="00337FB8" w:rsidRDefault="00CF1EE9" w:rsidP="00337FB8">
            <w:r w:rsidRPr="00337FB8">
              <w:t xml:space="preserve">The </w:t>
            </w:r>
            <w:r w:rsidR="00E62B10" w:rsidRPr="00337FB8">
              <w:t xml:space="preserve">person </w:t>
            </w:r>
            <w:r w:rsidRPr="00337FB8">
              <w:t>who receives aged care services</w:t>
            </w:r>
            <w:r w:rsidR="001C7E75" w:rsidRPr="00337FB8">
              <w:t xml:space="preserve"> subsidised by the Australian Government under the Aged Care Act 1997.</w:t>
            </w:r>
          </w:p>
        </w:tc>
      </w:tr>
      <w:tr w:rsidR="00CF1EE9" w14:paraId="1D333539" w14:textId="77777777" w:rsidTr="00337FB8">
        <w:tc>
          <w:tcPr>
            <w:tcW w:w="2405" w:type="dxa"/>
          </w:tcPr>
          <w:p w14:paraId="50C1A1A9" w14:textId="11EF49D9" w:rsidR="00CF1EE9" w:rsidRPr="00337FB8" w:rsidRDefault="006675EF" w:rsidP="00337FB8">
            <w:r w:rsidRPr="00337FB8">
              <w:t>Residential care</w:t>
            </w:r>
          </w:p>
        </w:tc>
        <w:tc>
          <w:tcPr>
            <w:tcW w:w="7378" w:type="dxa"/>
          </w:tcPr>
          <w:p w14:paraId="08855C5F" w14:textId="4CF26C5B" w:rsidR="006675EF" w:rsidRPr="00337FB8" w:rsidRDefault="006675EF" w:rsidP="00337FB8">
            <w:r w:rsidRPr="00337FB8">
              <w:t xml:space="preserve">Defined under the </w:t>
            </w:r>
            <w:r w:rsidRPr="00337FB8">
              <w:rPr>
                <w:rStyle w:val="Emphasis"/>
              </w:rPr>
              <w:t>Aged Care Act 1997</w:t>
            </w:r>
            <w:r w:rsidRPr="00337FB8">
              <w:t xml:space="preserve"> as personal or nursing care, or both personal and nursing care, that:</w:t>
            </w:r>
          </w:p>
          <w:p w14:paraId="7F3562F4" w14:textId="77777777" w:rsidR="006675EF" w:rsidRDefault="006675EF" w:rsidP="00337FB8">
            <w:pPr>
              <w:pStyle w:val="ListBullet"/>
            </w:pPr>
            <w:r>
              <w:t>is provided to a person in a residential care facility in which the person is also provided with accommodation that includes:</w:t>
            </w:r>
          </w:p>
          <w:p w14:paraId="3E221E8E" w14:textId="77777777" w:rsidR="006675EF" w:rsidRDefault="006675EF" w:rsidP="00337FB8">
            <w:pPr>
              <w:pStyle w:val="ListBullet2"/>
            </w:pPr>
            <w:r>
              <w:t xml:space="preserve">appropriate staffing to meet the nursing and personal care needs of the </w:t>
            </w:r>
            <w:proofErr w:type="gramStart"/>
            <w:r>
              <w:t>person</w:t>
            </w:r>
            <w:proofErr w:type="gramEnd"/>
          </w:p>
          <w:p w14:paraId="3DFB076D" w14:textId="77777777" w:rsidR="006675EF" w:rsidRDefault="006675EF" w:rsidP="00337FB8">
            <w:pPr>
              <w:pStyle w:val="ListBullet2"/>
            </w:pPr>
            <w:r>
              <w:t>meals and cleaning services, and</w:t>
            </w:r>
          </w:p>
          <w:p w14:paraId="6258B245" w14:textId="77777777" w:rsidR="006675EF" w:rsidRDefault="006675EF" w:rsidP="00337FB8">
            <w:pPr>
              <w:pStyle w:val="ListBullet2"/>
            </w:pPr>
            <w:r>
              <w:t xml:space="preserve">furnishings, </w:t>
            </w:r>
            <w:proofErr w:type="gramStart"/>
            <w:r>
              <w:t>furniture</w:t>
            </w:r>
            <w:proofErr w:type="gramEnd"/>
            <w:r>
              <w:t xml:space="preserve"> and equipment for the provision of that care and accommodation, and</w:t>
            </w:r>
          </w:p>
          <w:p w14:paraId="2F63A810" w14:textId="7FBBDA74" w:rsidR="00CF1EE9" w:rsidRDefault="006675EF" w:rsidP="00337FB8">
            <w:pPr>
              <w:pStyle w:val="ListBullet"/>
            </w:pPr>
            <w:r>
              <w:t>meets any other requirements specified in the Subsidy Principles 2014.</w:t>
            </w:r>
          </w:p>
        </w:tc>
      </w:tr>
    </w:tbl>
    <w:p w14:paraId="7CB16EC7" w14:textId="67C5F2F3" w:rsidR="00CF1EE9" w:rsidRPr="00337FB8" w:rsidRDefault="00CF1EE9" w:rsidP="00337FB8"/>
    <w:sectPr w:rsidR="00CF1EE9" w:rsidRPr="00337FB8" w:rsidSect="006C067A">
      <w:footerReference w:type="default" r:id="rId14"/>
      <w:pgSz w:w="11906" w:h="17338"/>
      <w:pgMar w:top="1267" w:right="908" w:bottom="637"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DD81" w14:textId="77777777" w:rsidR="006F2CE7" w:rsidRDefault="006F2CE7" w:rsidP="00C13D5F">
      <w:pPr>
        <w:spacing w:after="0" w:line="240" w:lineRule="auto"/>
      </w:pPr>
      <w:r>
        <w:separator/>
      </w:r>
    </w:p>
  </w:endnote>
  <w:endnote w:type="continuationSeparator" w:id="0">
    <w:p w14:paraId="29E253C6" w14:textId="77777777" w:rsidR="006F2CE7" w:rsidRDefault="006F2CE7" w:rsidP="00C13D5F">
      <w:pPr>
        <w:spacing w:after="0" w:line="240" w:lineRule="auto"/>
      </w:pPr>
      <w:r>
        <w:continuationSeparator/>
      </w:r>
    </w:p>
  </w:endnote>
  <w:endnote w:type="continuationNotice" w:id="1">
    <w:p w14:paraId="2CBCFCA0" w14:textId="77777777" w:rsidR="006F2CE7" w:rsidRDefault="006F2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BCF4" w14:textId="43F26D6A" w:rsidR="00C13D5F" w:rsidRDefault="001C3254" w:rsidP="000C11AB">
    <w:pPr>
      <w:pStyle w:val="Footer"/>
      <w:jc w:val="right"/>
    </w:pPr>
    <w:sdt>
      <w:sdtPr>
        <w:id w:val="1216700754"/>
        <w:docPartObj>
          <w:docPartGallery w:val="Page Numbers (Bottom of Page)"/>
          <w:docPartUnique/>
        </w:docPartObj>
      </w:sdtPr>
      <w:sdtEndPr>
        <w:rPr>
          <w:noProof/>
        </w:rPr>
      </w:sdtEndPr>
      <w:sdtContent>
        <w:r w:rsidR="002C028B">
          <w:fldChar w:fldCharType="begin"/>
        </w:r>
        <w:r w:rsidR="002C028B">
          <w:instrText xml:space="preserve"> PAGE   \* MERGEFORMAT </w:instrText>
        </w:r>
        <w:r w:rsidR="002C028B">
          <w:fldChar w:fldCharType="separate"/>
        </w:r>
        <w:r w:rsidR="002C028B">
          <w:rPr>
            <w:noProof/>
          </w:rPr>
          <w:t>2</w:t>
        </w:r>
        <w:r w:rsidR="002C028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DFFD" w14:textId="77777777" w:rsidR="006F2CE7" w:rsidRDefault="006F2CE7" w:rsidP="00C13D5F">
      <w:pPr>
        <w:spacing w:after="0" w:line="240" w:lineRule="auto"/>
      </w:pPr>
      <w:r>
        <w:separator/>
      </w:r>
    </w:p>
  </w:footnote>
  <w:footnote w:type="continuationSeparator" w:id="0">
    <w:p w14:paraId="35588675" w14:textId="77777777" w:rsidR="006F2CE7" w:rsidRDefault="006F2CE7" w:rsidP="00C13D5F">
      <w:pPr>
        <w:spacing w:after="0" w:line="240" w:lineRule="auto"/>
      </w:pPr>
      <w:r>
        <w:continuationSeparator/>
      </w:r>
    </w:p>
  </w:footnote>
  <w:footnote w:type="continuationNotice" w:id="1">
    <w:p w14:paraId="2E3E9BBB" w14:textId="77777777" w:rsidR="006F2CE7" w:rsidRDefault="006F2CE7">
      <w:pPr>
        <w:spacing w:after="0" w:line="240" w:lineRule="auto"/>
      </w:pPr>
    </w:p>
  </w:footnote>
  <w:footnote w:id="2">
    <w:p w14:paraId="111BB503" w14:textId="4F44D1FD" w:rsidR="00F46261" w:rsidRPr="00B0497A" w:rsidRDefault="00F46261">
      <w:pPr>
        <w:pStyle w:val="FootnoteText"/>
        <w:rPr>
          <w:sz w:val="18"/>
          <w:szCs w:val="18"/>
        </w:rPr>
      </w:pPr>
      <w:r w:rsidRPr="00B0497A">
        <w:rPr>
          <w:rStyle w:val="FootnoteReference"/>
          <w:sz w:val="18"/>
          <w:szCs w:val="18"/>
        </w:rPr>
        <w:footnoteRef/>
      </w:r>
      <w:r w:rsidRPr="00B0497A">
        <w:rPr>
          <w:sz w:val="18"/>
          <w:szCs w:val="18"/>
        </w:rPr>
        <w:t xml:space="preserve"> Australian Government Department of Health and Aged Care, </w:t>
      </w:r>
      <w:r w:rsidRPr="00B0497A">
        <w:rPr>
          <w:i/>
          <w:iCs/>
          <w:sz w:val="18"/>
          <w:szCs w:val="18"/>
        </w:rPr>
        <w:t>Addendum to National Health Reform Agreement 2020-2025</w:t>
      </w:r>
      <w:r w:rsidRPr="00B0497A">
        <w:rPr>
          <w:sz w:val="18"/>
          <w:szCs w:val="18"/>
        </w:rPr>
        <w:t xml:space="preserve">, Accessed </w:t>
      </w:r>
      <w:r w:rsidR="00133BD7">
        <w:rPr>
          <w:sz w:val="18"/>
          <w:szCs w:val="18"/>
        </w:rPr>
        <w:t>11 January 2024</w:t>
      </w:r>
      <w:r w:rsidR="00E32123" w:rsidRPr="00B0497A">
        <w:rPr>
          <w:sz w:val="18"/>
          <w:szCs w:val="18"/>
        </w:rPr>
        <w:t xml:space="preserve"> at</w:t>
      </w:r>
      <w:r w:rsidRPr="00B0497A">
        <w:rPr>
          <w:sz w:val="18"/>
          <w:szCs w:val="18"/>
        </w:rPr>
        <w:t xml:space="preserve"> </w:t>
      </w:r>
      <w:hyperlink r:id="rId1" w:history="1">
        <w:r w:rsidRPr="00133BD7">
          <w:rPr>
            <w:rStyle w:val="Hyperlink"/>
            <w:sz w:val="18"/>
            <w:szCs w:val="18"/>
          </w:rPr>
          <w:t>www.health.gov.au/</w:t>
        </w:r>
        <w:r w:rsidR="00E32123" w:rsidRPr="00133BD7">
          <w:rPr>
            <w:rStyle w:val="Hyperlink"/>
            <w:sz w:val="18"/>
            <w:szCs w:val="18"/>
          </w:rPr>
          <w:t>our-work/2020-25-national-health-reform-agreement-nhra</w:t>
        </w:r>
      </w:hyperlink>
    </w:p>
  </w:footnote>
  <w:footnote w:id="3">
    <w:p w14:paraId="3A055C9F" w14:textId="11A0BCE5" w:rsidR="009E0B96" w:rsidRDefault="009E0B96">
      <w:pPr>
        <w:pStyle w:val="FootnoteText"/>
      </w:pPr>
      <w:r>
        <w:rPr>
          <w:rStyle w:val="FootnoteReference"/>
        </w:rPr>
        <w:footnoteRef/>
      </w:r>
      <w:r>
        <w:t xml:space="preserve"> </w:t>
      </w:r>
      <w:hyperlink r:id="rId2" w:history="1">
        <w:r w:rsidRPr="00300205">
          <w:rPr>
            <w:rStyle w:val="Hyperlink"/>
            <w:sz w:val="18"/>
            <w:szCs w:val="18"/>
          </w:rPr>
          <w:t>Quality of Care Principles 2014 (legislation.gov.au)</w:t>
        </w:r>
      </w:hyperlink>
      <w:r w:rsidRPr="00300205">
        <w:rPr>
          <w:sz w:val="18"/>
          <w:szCs w:val="18"/>
        </w:rPr>
        <w:t xml:space="preserve"> </w:t>
      </w:r>
    </w:p>
  </w:footnote>
  <w:footnote w:id="4">
    <w:p w14:paraId="096575A0" w14:textId="23511231" w:rsidR="003D7D84" w:rsidRDefault="003D7D84">
      <w:pPr>
        <w:pStyle w:val="FootnoteText"/>
      </w:pPr>
      <w:r w:rsidRPr="00B0497A">
        <w:rPr>
          <w:rStyle w:val="FootnoteReference"/>
          <w:sz w:val="18"/>
          <w:szCs w:val="18"/>
        </w:rPr>
        <w:footnoteRef/>
      </w:r>
      <w:r w:rsidRPr="00B0497A">
        <w:rPr>
          <w:sz w:val="18"/>
          <w:szCs w:val="18"/>
        </w:rPr>
        <w:t xml:space="preserve"> Australian Government Department of Health and Aged Care, </w:t>
      </w:r>
      <w:r w:rsidRPr="00B0497A">
        <w:rPr>
          <w:i/>
          <w:iCs/>
          <w:sz w:val="18"/>
          <w:szCs w:val="18"/>
        </w:rPr>
        <w:t>Review of the Aged Care Quality Standards</w:t>
      </w:r>
      <w:r w:rsidRPr="00B0497A">
        <w:rPr>
          <w:sz w:val="18"/>
          <w:szCs w:val="18"/>
        </w:rPr>
        <w:t xml:space="preserve">, accessed </w:t>
      </w:r>
      <w:r w:rsidR="00133BD7">
        <w:rPr>
          <w:sz w:val="18"/>
          <w:szCs w:val="18"/>
        </w:rPr>
        <w:t>11 January 2024</w:t>
      </w:r>
      <w:r w:rsidRPr="00B0497A">
        <w:rPr>
          <w:sz w:val="18"/>
          <w:szCs w:val="18"/>
        </w:rPr>
        <w:t xml:space="preserve"> at </w:t>
      </w:r>
      <w:hyperlink r:id="rId3" w:history="1">
        <w:r w:rsidR="00CF1EE9" w:rsidRPr="000B57F0">
          <w:rPr>
            <w:rStyle w:val="Hyperlink"/>
            <w:sz w:val="18"/>
            <w:szCs w:val="18"/>
          </w:rPr>
          <w:t>www.health.gov.au/topics/aged-care/aged-care-reforms-and-reviews/royal-commission-into-aged-care-quality-and-safety/review-of-the-aged-care-quality-standards</w:t>
        </w:r>
      </w:hyperlink>
      <w:r w:rsidR="00CF1EE9">
        <w:rPr>
          <w:sz w:val="18"/>
          <w:szCs w:val="18"/>
        </w:rPr>
        <w:t xml:space="preserve">. </w:t>
      </w:r>
    </w:p>
  </w:footnote>
  <w:footnote w:id="5">
    <w:p w14:paraId="71B165B1" w14:textId="21DBA730" w:rsidR="00CF1EE9" w:rsidRDefault="00CF1EE9">
      <w:pPr>
        <w:pStyle w:val="FootnoteText"/>
      </w:pPr>
      <w:r>
        <w:rPr>
          <w:rStyle w:val="FootnoteReference"/>
        </w:rPr>
        <w:footnoteRef/>
      </w:r>
      <w:r>
        <w:t xml:space="preserve"> </w:t>
      </w:r>
      <w:r w:rsidR="00AE2A2F" w:rsidRPr="00300205">
        <w:rPr>
          <w:i/>
          <w:iCs/>
          <w:sz w:val="18"/>
          <w:szCs w:val="18"/>
        </w:rPr>
        <w:t xml:space="preserve">Addendum to National Health Reform Agreement 2020-2025 - </w:t>
      </w:r>
      <w:r w:rsidRPr="00300205">
        <w:rPr>
          <w:b/>
          <w:bCs/>
          <w:i/>
          <w:iCs/>
          <w:sz w:val="18"/>
          <w:szCs w:val="18"/>
        </w:rPr>
        <w:t>Medicare principles</w:t>
      </w:r>
      <w:r w:rsidRPr="00300205">
        <w:rPr>
          <w:sz w:val="18"/>
          <w:szCs w:val="18"/>
        </w:rPr>
        <w:t xml:space="preserve">: States </w:t>
      </w:r>
      <w:r w:rsidR="00602C23" w:rsidRPr="00300205">
        <w:rPr>
          <w:sz w:val="18"/>
          <w:szCs w:val="18"/>
        </w:rPr>
        <w:t xml:space="preserve">and Territories </w:t>
      </w:r>
      <w:r w:rsidRPr="00300205">
        <w:rPr>
          <w:sz w:val="18"/>
          <w:szCs w:val="18"/>
        </w:rPr>
        <w:t xml:space="preserve">will provide health and emergency services through the public hospital system, based on the following Medicare principles: a. Eligible persons must be given the choice to receive public hospitals services free of charge as public patients; </w:t>
      </w:r>
      <w:r w:rsidR="009E11DE" w:rsidRPr="00300205">
        <w:rPr>
          <w:sz w:val="18"/>
          <w:szCs w:val="18"/>
        </w:rPr>
        <w:br/>
      </w:r>
      <w:r w:rsidRPr="00300205">
        <w:rPr>
          <w:sz w:val="18"/>
          <w:szCs w:val="18"/>
        </w:rPr>
        <w:t>b. access to public hospitals is to be on the basis of clinical need and within a clinically appropriate period; and c. arrangements are to be in place to ensure equitable access to such services for all eligible persons, regardless of their geographic location.</w:t>
      </w:r>
    </w:p>
  </w:footnote>
  <w:footnote w:id="6">
    <w:p w14:paraId="72DFDF17" w14:textId="260C5ECB" w:rsidR="006675EF" w:rsidRDefault="006675EF">
      <w:pPr>
        <w:pStyle w:val="FootnoteText"/>
      </w:pPr>
      <w:r>
        <w:rPr>
          <w:rStyle w:val="FootnoteReference"/>
        </w:rPr>
        <w:footnoteRef/>
      </w:r>
      <w:r>
        <w:t xml:space="preserve"> </w:t>
      </w:r>
      <w:r w:rsidRPr="00133BD7">
        <w:rPr>
          <w:sz w:val="18"/>
          <w:szCs w:val="18"/>
        </w:rPr>
        <w:t xml:space="preserve">Multiple tools and standards are applicable to clinical handover and care transitions, including ISOBAR protocols, and </w:t>
      </w:r>
      <w:hyperlink r:id="rId4" w:history="1">
        <w:r w:rsidRPr="00133BD7">
          <w:rPr>
            <w:rStyle w:val="Hyperlink"/>
            <w:sz w:val="18"/>
            <w:szCs w:val="18"/>
          </w:rPr>
          <w:t>National Safety and Quality Health Service</w:t>
        </w:r>
        <w:r w:rsidR="00636A09" w:rsidRPr="00133BD7">
          <w:rPr>
            <w:rStyle w:val="Hyperlink"/>
            <w:sz w:val="18"/>
            <w:szCs w:val="18"/>
          </w:rPr>
          <w:t xml:space="preserve"> (NSQHS)</w:t>
        </w:r>
        <w:r w:rsidRPr="00133BD7">
          <w:rPr>
            <w:rStyle w:val="Hyperlink"/>
            <w:sz w:val="18"/>
            <w:szCs w:val="18"/>
          </w:rPr>
          <w:t xml:space="preserve"> Standards</w:t>
        </w:r>
      </w:hyperlink>
      <w:r w:rsidRPr="00133BD7">
        <w:rPr>
          <w:sz w:val="18"/>
          <w:szCs w:val="18"/>
        </w:rPr>
        <w:t xml:space="preserve"> (communicating for safety standard)</w:t>
      </w:r>
    </w:p>
  </w:footnote>
  <w:footnote w:id="7">
    <w:p w14:paraId="6F491147" w14:textId="7BCADDCB" w:rsidR="000C0168" w:rsidRPr="00B0497A" w:rsidRDefault="000C0168">
      <w:pPr>
        <w:pStyle w:val="FootnoteText"/>
        <w:rPr>
          <w:rFonts w:cs="Arial"/>
          <w:sz w:val="18"/>
          <w:szCs w:val="18"/>
        </w:rPr>
      </w:pPr>
      <w:r w:rsidRPr="007C2615">
        <w:rPr>
          <w:rStyle w:val="FootnoteReference"/>
          <w:rFonts w:cs="Arial"/>
          <w:sz w:val="18"/>
          <w:szCs w:val="18"/>
        </w:rPr>
        <w:footnoteRef/>
      </w:r>
      <w:r w:rsidRPr="007C2615">
        <w:rPr>
          <w:rFonts w:cs="Arial"/>
          <w:sz w:val="18"/>
          <w:szCs w:val="18"/>
        </w:rPr>
        <w:t xml:space="preserve"> While system management and clinical care delivery responsibilities for public hospital services are held by </w:t>
      </w:r>
      <w:r w:rsidR="00F56697" w:rsidRPr="007C2615">
        <w:rPr>
          <w:rFonts w:cs="Arial"/>
          <w:sz w:val="18"/>
          <w:szCs w:val="18"/>
        </w:rPr>
        <w:t>S</w:t>
      </w:r>
      <w:r w:rsidRPr="007C2615">
        <w:rPr>
          <w:rFonts w:cs="Arial"/>
          <w:sz w:val="18"/>
          <w:szCs w:val="18"/>
        </w:rPr>
        <w:t xml:space="preserve">tates and </w:t>
      </w:r>
      <w:r w:rsidR="00F56697" w:rsidRPr="007C2615">
        <w:rPr>
          <w:rFonts w:cs="Arial"/>
          <w:sz w:val="18"/>
          <w:szCs w:val="18"/>
        </w:rPr>
        <w:t>T</w:t>
      </w:r>
      <w:r w:rsidRPr="007C2615">
        <w:rPr>
          <w:rFonts w:cs="Arial"/>
          <w:sz w:val="18"/>
          <w:szCs w:val="18"/>
        </w:rPr>
        <w:t>erritories, funding and stewardship is also contributed by the Commonwealth government.</w:t>
      </w:r>
    </w:p>
  </w:footnote>
  <w:footnote w:id="8">
    <w:p w14:paraId="709A71F5" w14:textId="565CEB9C" w:rsidR="00D72781" w:rsidRDefault="00D72781" w:rsidP="00D72781">
      <w:pPr>
        <w:pStyle w:val="FootnoteText"/>
      </w:pPr>
      <w:r w:rsidRPr="00B0497A">
        <w:rPr>
          <w:rStyle w:val="FootnoteReference"/>
          <w:rFonts w:cs="Arial"/>
          <w:sz w:val="18"/>
          <w:szCs w:val="18"/>
        </w:rPr>
        <w:footnoteRef/>
      </w:r>
      <w:r w:rsidRPr="00B0497A">
        <w:rPr>
          <w:rFonts w:cs="Arial"/>
          <w:sz w:val="18"/>
          <w:szCs w:val="18"/>
        </w:rPr>
        <w:t xml:space="preserve"> A clinical governance framework is a requirement under the Aged Care Quality Standards (standard 8).</w:t>
      </w:r>
      <w:r>
        <w:t xml:space="preserve"> </w:t>
      </w:r>
    </w:p>
  </w:footnote>
  <w:footnote w:id="9">
    <w:p w14:paraId="411AA3F0" w14:textId="53106BD4" w:rsidR="00D06EC9" w:rsidRDefault="00D06EC9">
      <w:pPr>
        <w:pStyle w:val="FootnoteText"/>
      </w:pPr>
      <w:r>
        <w:rPr>
          <w:rStyle w:val="FootnoteReference"/>
        </w:rPr>
        <w:footnoteRef/>
      </w:r>
      <w:r>
        <w:t xml:space="preserve"> </w:t>
      </w:r>
      <w:r w:rsidRPr="00300205">
        <w:rPr>
          <w:sz w:val="18"/>
          <w:szCs w:val="18"/>
        </w:rPr>
        <w:t xml:space="preserve">Further guidelines are provided on the </w:t>
      </w:r>
      <w:hyperlink r:id="rId5" w:history="1">
        <w:r w:rsidRPr="00300205">
          <w:rPr>
            <w:rStyle w:val="Hyperlink"/>
            <w:sz w:val="18"/>
            <w:szCs w:val="18"/>
          </w:rPr>
          <w:t>Aged Care Quality and Safety Commission website</w:t>
        </w:r>
      </w:hyperlink>
    </w:p>
  </w:footnote>
  <w:footnote w:id="10">
    <w:p w14:paraId="426666D3" w14:textId="5B59A0B5" w:rsidR="008B0D0A" w:rsidRPr="00444D44" w:rsidRDefault="008B0D0A">
      <w:pPr>
        <w:pStyle w:val="FootnoteText"/>
        <w:rPr>
          <w:sz w:val="18"/>
          <w:szCs w:val="18"/>
        </w:rPr>
      </w:pPr>
      <w:r>
        <w:rPr>
          <w:rStyle w:val="FootnoteReference"/>
        </w:rPr>
        <w:footnoteRef/>
      </w:r>
      <w:r>
        <w:t xml:space="preserve"> </w:t>
      </w:r>
      <w:hyperlink r:id="rId6" w:history="1">
        <w:r w:rsidR="00BC1D9F" w:rsidRPr="00300205">
          <w:rPr>
            <w:rStyle w:val="Hyperlink"/>
            <w:sz w:val="18"/>
            <w:szCs w:val="18"/>
          </w:rPr>
          <w:t>NSQHS Standards – Recognising and responding to acute deterioration standard</w:t>
        </w:r>
      </w:hyperlink>
    </w:p>
  </w:footnote>
  <w:footnote w:id="11">
    <w:p w14:paraId="44A4499B" w14:textId="7DCC1F57" w:rsidR="00636A09" w:rsidRPr="001D281B" w:rsidRDefault="00636A09">
      <w:pPr>
        <w:pStyle w:val="FootnoteText"/>
        <w:rPr>
          <w:sz w:val="18"/>
          <w:szCs w:val="18"/>
        </w:rPr>
      </w:pPr>
      <w:r w:rsidRPr="001D281B">
        <w:rPr>
          <w:rStyle w:val="FootnoteReference"/>
          <w:sz w:val="18"/>
          <w:szCs w:val="18"/>
        </w:rPr>
        <w:footnoteRef/>
      </w:r>
      <w:r w:rsidRPr="001D281B">
        <w:rPr>
          <w:sz w:val="18"/>
          <w:szCs w:val="18"/>
        </w:rPr>
        <w:t xml:space="preserve"> Replacement of medical devices and other procedures that require specialist expertise are all subject to nursing and other staff being appropriately trained and working within their scope of practice, as required by </w:t>
      </w:r>
      <w:r w:rsidR="00EB7398" w:rsidRPr="001D281B">
        <w:rPr>
          <w:sz w:val="18"/>
          <w:szCs w:val="18"/>
        </w:rPr>
        <w:t>A</w:t>
      </w:r>
      <w:r w:rsidRPr="001D281B">
        <w:rPr>
          <w:sz w:val="18"/>
          <w:szCs w:val="18"/>
        </w:rPr>
        <w:t xml:space="preserve">ged </w:t>
      </w:r>
      <w:r w:rsidR="00EB7398" w:rsidRPr="001D281B">
        <w:rPr>
          <w:sz w:val="18"/>
          <w:szCs w:val="18"/>
        </w:rPr>
        <w:t>C</w:t>
      </w:r>
      <w:r w:rsidRPr="001D281B">
        <w:rPr>
          <w:sz w:val="18"/>
          <w:szCs w:val="18"/>
        </w:rPr>
        <w:t xml:space="preserve">are </w:t>
      </w:r>
      <w:r w:rsidR="00EB7398" w:rsidRPr="001D281B">
        <w:rPr>
          <w:sz w:val="18"/>
          <w:szCs w:val="18"/>
        </w:rPr>
        <w:t>Q</w:t>
      </w:r>
      <w:r w:rsidRPr="001D281B">
        <w:rPr>
          <w:sz w:val="18"/>
          <w:szCs w:val="18"/>
        </w:rPr>
        <w:t xml:space="preserve">uality </w:t>
      </w:r>
      <w:r w:rsidR="00EB7398" w:rsidRPr="001D281B">
        <w:rPr>
          <w:sz w:val="18"/>
          <w:szCs w:val="18"/>
        </w:rPr>
        <w:t>S</w:t>
      </w:r>
      <w:r w:rsidRPr="001D281B">
        <w:rPr>
          <w:sz w:val="18"/>
          <w:szCs w:val="18"/>
        </w:rPr>
        <w:t>tandards, and professional codes of conduct.</w:t>
      </w:r>
    </w:p>
  </w:footnote>
  <w:footnote w:id="12">
    <w:p w14:paraId="104DC625" w14:textId="38DB4F33" w:rsidR="00C5350A" w:rsidRPr="00B0497A" w:rsidRDefault="00C5350A" w:rsidP="00C5350A">
      <w:pPr>
        <w:pStyle w:val="FootnoteText"/>
        <w:rPr>
          <w:rFonts w:cs="Arial"/>
          <w:sz w:val="18"/>
          <w:szCs w:val="18"/>
        </w:rPr>
      </w:pPr>
      <w:r w:rsidRPr="001D281B">
        <w:rPr>
          <w:rStyle w:val="FootnoteReference"/>
          <w:rFonts w:cs="Arial"/>
          <w:sz w:val="18"/>
          <w:szCs w:val="18"/>
        </w:rPr>
        <w:footnoteRef/>
      </w:r>
      <w:r w:rsidRPr="001D281B">
        <w:rPr>
          <w:rFonts w:cs="Arial"/>
          <w:sz w:val="18"/>
          <w:szCs w:val="18"/>
        </w:rPr>
        <w:t xml:space="preserve"> IPC </w:t>
      </w:r>
      <w:proofErr w:type="gramStart"/>
      <w:r w:rsidRPr="001D281B">
        <w:rPr>
          <w:rFonts w:cs="Arial"/>
          <w:sz w:val="18"/>
          <w:szCs w:val="18"/>
        </w:rPr>
        <w:t>lead</w:t>
      </w:r>
      <w:proofErr w:type="gramEnd"/>
      <w:r w:rsidRPr="001D281B">
        <w:rPr>
          <w:rFonts w:cs="Arial"/>
          <w:sz w:val="18"/>
          <w:szCs w:val="18"/>
        </w:rPr>
        <w:t xml:space="preserve"> requirement introduced in 2020: </w:t>
      </w:r>
      <w:hyperlink r:id="rId7" w:history="1">
        <w:r w:rsidRPr="00133BD7">
          <w:rPr>
            <w:rStyle w:val="Hyperlink"/>
            <w:rFonts w:cs="Arial"/>
            <w:sz w:val="18"/>
            <w:szCs w:val="18"/>
          </w:rPr>
          <w:t>https://www.health.gov.au/our-work/infection-prevention-and-control-leads</w:t>
        </w:r>
      </w:hyperlink>
    </w:p>
  </w:footnote>
  <w:footnote w:id="13">
    <w:p w14:paraId="352D8D11" w14:textId="084FB400" w:rsidR="00815BBF" w:rsidRPr="009E11DE" w:rsidRDefault="00815BBF">
      <w:pPr>
        <w:pStyle w:val="FootnoteText"/>
        <w:rPr>
          <w:sz w:val="18"/>
          <w:szCs w:val="18"/>
        </w:rPr>
      </w:pPr>
      <w:r w:rsidRPr="009E11DE">
        <w:rPr>
          <w:rStyle w:val="FootnoteReference"/>
          <w:sz w:val="18"/>
          <w:szCs w:val="18"/>
        </w:rPr>
        <w:footnoteRef/>
      </w:r>
      <w:r w:rsidRPr="009E11DE">
        <w:rPr>
          <w:sz w:val="18"/>
          <w:szCs w:val="18"/>
        </w:rPr>
        <w:t xml:space="preserve"> </w:t>
      </w:r>
      <w:r w:rsidR="003551F9" w:rsidRPr="009E11DE">
        <w:rPr>
          <w:sz w:val="18"/>
          <w:szCs w:val="18"/>
        </w:rPr>
        <w:t>These responsibilities pertain to clinical care provided by community aged care providers, distinct from other support services delivered to people</w:t>
      </w:r>
      <w:r w:rsidR="0018782F" w:rsidRPr="009E11DE">
        <w:rPr>
          <w:sz w:val="18"/>
          <w:szCs w:val="18"/>
        </w:rPr>
        <w:t xml:space="preserve"> receiving aged care</w:t>
      </w:r>
      <w:r w:rsidR="003551F9" w:rsidRPr="009E11DE">
        <w:rPr>
          <w:sz w:val="18"/>
          <w:szCs w:val="18"/>
        </w:rPr>
        <w:t xml:space="preserve"> in the community</w:t>
      </w:r>
      <w:r w:rsidR="0018782F" w:rsidRPr="009E11DE">
        <w:rPr>
          <w:sz w:val="18"/>
          <w:szCs w:val="18"/>
        </w:rPr>
        <w:t>, and other community services</w:t>
      </w:r>
      <w:r w:rsidR="003551F9" w:rsidRPr="009E11DE">
        <w:rPr>
          <w:sz w:val="18"/>
          <w:szCs w:val="18"/>
        </w:rPr>
        <w:t>.</w:t>
      </w:r>
      <w:r w:rsidR="006675EF" w:rsidRPr="009E11DE">
        <w:rPr>
          <w:sz w:val="18"/>
          <w:szCs w:val="18"/>
        </w:rPr>
        <w:t xml:space="preserve"> </w:t>
      </w:r>
      <w:r w:rsidR="002A26A0">
        <w:rPr>
          <w:sz w:val="18"/>
          <w:szCs w:val="18"/>
        </w:rPr>
        <w:t xml:space="preserve">These include </w:t>
      </w:r>
      <w:r w:rsidR="002A26A0" w:rsidRPr="00EB5FE1">
        <w:rPr>
          <w:sz w:val="18"/>
          <w:szCs w:val="18"/>
        </w:rPr>
        <w:t>Commonwealth Home Support Program, Home Care Packages, transition care, and short-term restorative care.</w:t>
      </w:r>
    </w:p>
  </w:footnote>
  <w:footnote w:id="14">
    <w:p w14:paraId="5FEFFC6E" w14:textId="66032A60" w:rsidR="00013A64" w:rsidRDefault="00013A64">
      <w:pPr>
        <w:pStyle w:val="FootnoteText"/>
      </w:pPr>
      <w:r>
        <w:rPr>
          <w:rStyle w:val="FootnoteReference"/>
        </w:rPr>
        <w:footnoteRef/>
      </w:r>
      <w:r>
        <w:t xml:space="preserve"> </w:t>
      </w:r>
      <w:r w:rsidRPr="00D06EC9">
        <w:rPr>
          <w:sz w:val="18"/>
          <w:szCs w:val="18"/>
        </w:rPr>
        <w:t>Noting that this may be above the scope of some community providers</w:t>
      </w:r>
      <w:r w:rsidRPr="00792C2E">
        <w:rPr>
          <w:sz w:val="18"/>
          <w:szCs w:val="18"/>
        </w:rPr>
        <w:t xml:space="preserve"> </w:t>
      </w:r>
      <w:r w:rsidRPr="00D530CA">
        <w:rPr>
          <w:sz w:val="18"/>
          <w:szCs w:val="18"/>
        </w:rPr>
        <w:t xml:space="preserve">and community aged care services are complemented by </w:t>
      </w:r>
      <w:r w:rsidR="00FD52B0" w:rsidRPr="00D530CA">
        <w:rPr>
          <w:sz w:val="18"/>
          <w:szCs w:val="18"/>
        </w:rPr>
        <w:t xml:space="preserve">other </w:t>
      </w:r>
      <w:r w:rsidRPr="00D530CA">
        <w:rPr>
          <w:sz w:val="18"/>
          <w:szCs w:val="18"/>
        </w:rPr>
        <w:t>community-based health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CA6D8CA"/>
    <w:lvl w:ilvl="0">
      <w:start w:val="1"/>
      <w:numFmt w:val="bullet"/>
      <w:pStyle w:val="ListBullet3"/>
      <w:lvlText w:val=""/>
      <w:lvlJc w:val="left"/>
      <w:pPr>
        <w:ind w:left="926" w:hanging="360"/>
      </w:pPr>
      <w:rPr>
        <w:rFonts w:ascii="Wingdings" w:hAnsi="Wingdings" w:hint="default"/>
      </w:rPr>
    </w:lvl>
  </w:abstractNum>
  <w:abstractNum w:abstractNumId="1" w15:restartNumberingAfterBreak="0">
    <w:nsid w:val="FFFFFF83"/>
    <w:multiLevelType w:val="singleLevel"/>
    <w:tmpl w:val="D1985986"/>
    <w:lvl w:ilvl="0">
      <w:start w:val="1"/>
      <w:numFmt w:val="bullet"/>
      <w:pStyle w:val="ListBullet2"/>
      <w:lvlText w:val="o"/>
      <w:lvlJc w:val="left"/>
      <w:pPr>
        <w:ind w:left="643" w:hanging="360"/>
      </w:pPr>
      <w:rPr>
        <w:rFonts w:ascii="Courier New" w:hAnsi="Courier New" w:cs="Courier New" w:hint="default"/>
      </w:rPr>
    </w:lvl>
  </w:abstractNum>
  <w:abstractNum w:abstractNumId="2" w15:restartNumberingAfterBreak="0">
    <w:nsid w:val="FFFFFF88"/>
    <w:multiLevelType w:val="singleLevel"/>
    <w:tmpl w:val="C834188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D8E47B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E586827"/>
    <w:multiLevelType w:val="hybridMultilevel"/>
    <w:tmpl w:val="DC9E277A"/>
    <w:lvl w:ilvl="0" w:tplc="0BE8326C">
      <w:start w:val="1"/>
      <w:numFmt w:val="lowerRoman"/>
      <w:pStyle w:val="ListContinue2"/>
      <w:lvlText w:val="%1."/>
      <w:lvlJc w:val="righ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 w15:restartNumberingAfterBreak="0">
    <w:nsid w:val="3B975958"/>
    <w:multiLevelType w:val="hybridMultilevel"/>
    <w:tmpl w:val="A68A8190"/>
    <w:lvl w:ilvl="0" w:tplc="CDF241E2">
      <w:start w:val="1"/>
      <w:numFmt w:val="lowerLetter"/>
      <w:lvlText w:val="%1."/>
      <w:lvlJc w:val="left"/>
      <w:pPr>
        <w:ind w:left="1080" w:hanging="360"/>
      </w:pPr>
      <w:rPr>
        <w:rFonts w:hint="default"/>
        <w:b w:val="0"/>
        <w:bCs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E344DAC"/>
    <w:multiLevelType w:val="hybridMultilevel"/>
    <w:tmpl w:val="E470271A"/>
    <w:lvl w:ilvl="0" w:tplc="8D904344">
      <w:start w:val="1"/>
      <w:numFmt w:val="lowerLetter"/>
      <w:pStyle w:val="ListContinue"/>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num w:numId="1" w16cid:durableId="1894461122">
    <w:abstractNumId w:val="5"/>
  </w:num>
  <w:num w:numId="2" w16cid:durableId="1633049943">
    <w:abstractNumId w:val="3"/>
  </w:num>
  <w:num w:numId="3" w16cid:durableId="2040154272">
    <w:abstractNumId w:val="2"/>
  </w:num>
  <w:num w:numId="4" w16cid:durableId="2084913291">
    <w:abstractNumId w:val="6"/>
  </w:num>
  <w:num w:numId="5" w16cid:durableId="930358143">
    <w:abstractNumId w:val="6"/>
    <w:lvlOverride w:ilvl="0">
      <w:startOverride w:val="1"/>
    </w:lvlOverride>
  </w:num>
  <w:num w:numId="6" w16cid:durableId="1568570824">
    <w:abstractNumId w:val="6"/>
    <w:lvlOverride w:ilvl="0">
      <w:startOverride w:val="1"/>
    </w:lvlOverride>
  </w:num>
  <w:num w:numId="7" w16cid:durableId="1980185082">
    <w:abstractNumId w:val="6"/>
    <w:lvlOverride w:ilvl="0">
      <w:startOverride w:val="1"/>
    </w:lvlOverride>
  </w:num>
  <w:num w:numId="8" w16cid:durableId="1844122305">
    <w:abstractNumId w:val="6"/>
    <w:lvlOverride w:ilvl="0">
      <w:startOverride w:val="1"/>
    </w:lvlOverride>
  </w:num>
  <w:num w:numId="9" w16cid:durableId="1410811639">
    <w:abstractNumId w:val="1"/>
  </w:num>
  <w:num w:numId="10" w16cid:durableId="1908953911">
    <w:abstractNumId w:val="0"/>
  </w:num>
  <w:num w:numId="11" w16cid:durableId="2057510591">
    <w:abstractNumId w:val="6"/>
    <w:lvlOverride w:ilvl="0">
      <w:startOverride w:val="1"/>
    </w:lvlOverride>
  </w:num>
  <w:num w:numId="12" w16cid:durableId="2011369003">
    <w:abstractNumId w:val="6"/>
    <w:lvlOverride w:ilvl="0">
      <w:startOverride w:val="1"/>
    </w:lvlOverride>
  </w:num>
  <w:num w:numId="13" w16cid:durableId="1899853876">
    <w:abstractNumId w:val="6"/>
    <w:lvlOverride w:ilvl="0">
      <w:startOverride w:val="1"/>
    </w:lvlOverride>
  </w:num>
  <w:num w:numId="14" w16cid:durableId="158560537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0"/>
    <w:rsid w:val="00002F7D"/>
    <w:rsid w:val="00003A43"/>
    <w:rsid w:val="00010AAB"/>
    <w:rsid w:val="000118B2"/>
    <w:rsid w:val="00012399"/>
    <w:rsid w:val="00013A64"/>
    <w:rsid w:val="000142EB"/>
    <w:rsid w:val="0001440F"/>
    <w:rsid w:val="00014BB8"/>
    <w:rsid w:val="00015874"/>
    <w:rsid w:val="00027360"/>
    <w:rsid w:val="000338F9"/>
    <w:rsid w:val="00035B59"/>
    <w:rsid w:val="00037168"/>
    <w:rsid w:val="0003749B"/>
    <w:rsid w:val="00040DDB"/>
    <w:rsid w:val="00047BD0"/>
    <w:rsid w:val="000517FD"/>
    <w:rsid w:val="000523F8"/>
    <w:rsid w:val="00053E4A"/>
    <w:rsid w:val="00054E2B"/>
    <w:rsid w:val="000566A7"/>
    <w:rsid w:val="00056A6E"/>
    <w:rsid w:val="000631C7"/>
    <w:rsid w:val="00065796"/>
    <w:rsid w:val="000710D3"/>
    <w:rsid w:val="00071E15"/>
    <w:rsid w:val="0007270B"/>
    <w:rsid w:val="00073AE0"/>
    <w:rsid w:val="00073EDC"/>
    <w:rsid w:val="00076123"/>
    <w:rsid w:val="00077680"/>
    <w:rsid w:val="00080CA6"/>
    <w:rsid w:val="000820C8"/>
    <w:rsid w:val="00083698"/>
    <w:rsid w:val="000956B6"/>
    <w:rsid w:val="000A0807"/>
    <w:rsid w:val="000A301D"/>
    <w:rsid w:val="000A7595"/>
    <w:rsid w:val="000B1788"/>
    <w:rsid w:val="000B28D9"/>
    <w:rsid w:val="000B3F08"/>
    <w:rsid w:val="000B4BC7"/>
    <w:rsid w:val="000B595A"/>
    <w:rsid w:val="000B5972"/>
    <w:rsid w:val="000C0168"/>
    <w:rsid w:val="000C11AB"/>
    <w:rsid w:val="000C456D"/>
    <w:rsid w:val="000C5FBF"/>
    <w:rsid w:val="000C60C8"/>
    <w:rsid w:val="000D0681"/>
    <w:rsid w:val="000D0A9D"/>
    <w:rsid w:val="000D5790"/>
    <w:rsid w:val="000D65D5"/>
    <w:rsid w:val="000D7A3B"/>
    <w:rsid w:val="000E4595"/>
    <w:rsid w:val="000E486C"/>
    <w:rsid w:val="000E55E9"/>
    <w:rsid w:val="000E602E"/>
    <w:rsid w:val="000F36E6"/>
    <w:rsid w:val="00107796"/>
    <w:rsid w:val="00107A25"/>
    <w:rsid w:val="001122A3"/>
    <w:rsid w:val="00113CA5"/>
    <w:rsid w:val="00114711"/>
    <w:rsid w:val="0011706E"/>
    <w:rsid w:val="00117567"/>
    <w:rsid w:val="00122450"/>
    <w:rsid w:val="001244C9"/>
    <w:rsid w:val="00126255"/>
    <w:rsid w:val="00127225"/>
    <w:rsid w:val="00127F5C"/>
    <w:rsid w:val="001317E1"/>
    <w:rsid w:val="00133BD7"/>
    <w:rsid w:val="001340F3"/>
    <w:rsid w:val="00134EB9"/>
    <w:rsid w:val="00137254"/>
    <w:rsid w:val="001374D3"/>
    <w:rsid w:val="0014056A"/>
    <w:rsid w:val="001412AD"/>
    <w:rsid w:val="00143E7F"/>
    <w:rsid w:val="00150905"/>
    <w:rsid w:val="0015149A"/>
    <w:rsid w:val="00153D0A"/>
    <w:rsid w:val="00154E80"/>
    <w:rsid w:val="001550A0"/>
    <w:rsid w:val="00157837"/>
    <w:rsid w:val="00160708"/>
    <w:rsid w:val="00161187"/>
    <w:rsid w:val="00161F0B"/>
    <w:rsid w:val="00172C21"/>
    <w:rsid w:val="00173A7C"/>
    <w:rsid w:val="0017545F"/>
    <w:rsid w:val="001805DF"/>
    <w:rsid w:val="0018253B"/>
    <w:rsid w:val="00182979"/>
    <w:rsid w:val="00182A67"/>
    <w:rsid w:val="001832D7"/>
    <w:rsid w:val="00183DD2"/>
    <w:rsid w:val="0018782F"/>
    <w:rsid w:val="00187E7C"/>
    <w:rsid w:val="00191BC0"/>
    <w:rsid w:val="00193381"/>
    <w:rsid w:val="00193AE6"/>
    <w:rsid w:val="00195C39"/>
    <w:rsid w:val="00196602"/>
    <w:rsid w:val="00197A10"/>
    <w:rsid w:val="001A0104"/>
    <w:rsid w:val="001A3CEC"/>
    <w:rsid w:val="001A6254"/>
    <w:rsid w:val="001A7220"/>
    <w:rsid w:val="001A7FBA"/>
    <w:rsid w:val="001B012C"/>
    <w:rsid w:val="001B0520"/>
    <w:rsid w:val="001B2A64"/>
    <w:rsid w:val="001B77CF"/>
    <w:rsid w:val="001B7A67"/>
    <w:rsid w:val="001B7F2D"/>
    <w:rsid w:val="001C3254"/>
    <w:rsid w:val="001C51D2"/>
    <w:rsid w:val="001C69F0"/>
    <w:rsid w:val="001C7E75"/>
    <w:rsid w:val="001D2500"/>
    <w:rsid w:val="001D281B"/>
    <w:rsid w:val="001D2A14"/>
    <w:rsid w:val="001D37D9"/>
    <w:rsid w:val="001D3EFB"/>
    <w:rsid w:val="001D442E"/>
    <w:rsid w:val="001D58EF"/>
    <w:rsid w:val="001E01A7"/>
    <w:rsid w:val="001E30B1"/>
    <w:rsid w:val="001E347B"/>
    <w:rsid w:val="001E3874"/>
    <w:rsid w:val="001E405F"/>
    <w:rsid w:val="001E6BCA"/>
    <w:rsid w:val="001F16FC"/>
    <w:rsid w:val="001F3068"/>
    <w:rsid w:val="001F34CF"/>
    <w:rsid w:val="001F408A"/>
    <w:rsid w:val="001F6F50"/>
    <w:rsid w:val="00201F4A"/>
    <w:rsid w:val="00202DA1"/>
    <w:rsid w:val="00203E70"/>
    <w:rsid w:val="00205B84"/>
    <w:rsid w:val="0021044F"/>
    <w:rsid w:val="00214D4F"/>
    <w:rsid w:val="00214E71"/>
    <w:rsid w:val="0022027A"/>
    <w:rsid w:val="002244AF"/>
    <w:rsid w:val="00224D55"/>
    <w:rsid w:val="00225027"/>
    <w:rsid w:val="002276B1"/>
    <w:rsid w:val="00230055"/>
    <w:rsid w:val="00244C85"/>
    <w:rsid w:val="00244E84"/>
    <w:rsid w:val="00245803"/>
    <w:rsid w:val="00251351"/>
    <w:rsid w:val="002546D1"/>
    <w:rsid w:val="00256FBA"/>
    <w:rsid w:val="00257B9A"/>
    <w:rsid w:val="00261F95"/>
    <w:rsid w:val="00270287"/>
    <w:rsid w:val="0027256C"/>
    <w:rsid w:val="002743D6"/>
    <w:rsid w:val="00274483"/>
    <w:rsid w:val="00275B36"/>
    <w:rsid w:val="00277072"/>
    <w:rsid w:val="00282D2C"/>
    <w:rsid w:val="002867E9"/>
    <w:rsid w:val="0029179C"/>
    <w:rsid w:val="00295FE1"/>
    <w:rsid w:val="00296791"/>
    <w:rsid w:val="002A01D9"/>
    <w:rsid w:val="002A26A0"/>
    <w:rsid w:val="002A3986"/>
    <w:rsid w:val="002B1774"/>
    <w:rsid w:val="002B1901"/>
    <w:rsid w:val="002B50AE"/>
    <w:rsid w:val="002C028B"/>
    <w:rsid w:val="002C4BBB"/>
    <w:rsid w:val="002D08D8"/>
    <w:rsid w:val="002D1BCB"/>
    <w:rsid w:val="002D34AA"/>
    <w:rsid w:val="002D7AA4"/>
    <w:rsid w:val="002D7F02"/>
    <w:rsid w:val="002E37F1"/>
    <w:rsid w:val="002E70C4"/>
    <w:rsid w:val="002F0F32"/>
    <w:rsid w:val="002F28E0"/>
    <w:rsid w:val="002F2B87"/>
    <w:rsid w:val="002F3C30"/>
    <w:rsid w:val="00300205"/>
    <w:rsid w:val="00303EEB"/>
    <w:rsid w:val="00305A68"/>
    <w:rsid w:val="00305B71"/>
    <w:rsid w:val="003068B1"/>
    <w:rsid w:val="00306A52"/>
    <w:rsid w:val="00306DC0"/>
    <w:rsid w:val="0031039F"/>
    <w:rsid w:val="00311CEA"/>
    <w:rsid w:val="00312C7C"/>
    <w:rsid w:val="003167BE"/>
    <w:rsid w:val="00316BE7"/>
    <w:rsid w:val="00316F94"/>
    <w:rsid w:val="0031783D"/>
    <w:rsid w:val="0032239E"/>
    <w:rsid w:val="00324E50"/>
    <w:rsid w:val="00331701"/>
    <w:rsid w:val="00333A2F"/>
    <w:rsid w:val="0033615E"/>
    <w:rsid w:val="00337C45"/>
    <w:rsid w:val="00337FB8"/>
    <w:rsid w:val="003401D6"/>
    <w:rsid w:val="003434B0"/>
    <w:rsid w:val="0034565E"/>
    <w:rsid w:val="003479D1"/>
    <w:rsid w:val="00350823"/>
    <w:rsid w:val="00350D4F"/>
    <w:rsid w:val="003537F8"/>
    <w:rsid w:val="00353C82"/>
    <w:rsid w:val="003551F9"/>
    <w:rsid w:val="0035560B"/>
    <w:rsid w:val="003576F0"/>
    <w:rsid w:val="00360291"/>
    <w:rsid w:val="003604B4"/>
    <w:rsid w:val="0036215E"/>
    <w:rsid w:val="003633CB"/>
    <w:rsid w:val="003665C3"/>
    <w:rsid w:val="00370AC7"/>
    <w:rsid w:val="00374A63"/>
    <w:rsid w:val="00375B0B"/>
    <w:rsid w:val="00377212"/>
    <w:rsid w:val="00377AC8"/>
    <w:rsid w:val="00380742"/>
    <w:rsid w:val="00387238"/>
    <w:rsid w:val="0038723A"/>
    <w:rsid w:val="00390730"/>
    <w:rsid w:val="00390775"/>
    <w:rsid w:val="003926CF"/>
    <w:rsid w:val="00393674"/>
    <w:rsid w:val="00393C55"/>
    <w:rsid w:val="00394902"/>
    <w:rsid w:val="003A143B"/>
    <w:rsid w:val="003A42C5"/>
    <w:rsid w:val="003A4C2E"/>
    <w:rsid w:val="003B2756"/>
    <w:rsid w:val="003B2A4E"/>
    <w:rsid w:val="003B6E5B"/>
    <w:rsid w:val="003B70AA"/>
    <w:rsid w:val="003B73E9"/>
    <w:rsid w:val="003C05A5"/>
    <w:rsid w:val="003C6AAA"/>
    <w:rsid w:val="003C710F"/>
    <w:rsid w:val="003C781D"/>
    <w:rsid w:val="003D0D78"/>
    <w:rsid w:val="003D7D84"/>
    <w:rsid w:val="003E2C30"/>
    <w:rsid w:val="003E6278"/>
    <w:rsid w:val="003E62DD"/>
    <w:rsid w:val="003F0759"/>
    <w:rsid w:val="003F1686"/>
    <w:rsid w:val="003F1F8A"/>
    <w:rsid w:val="003F1FC8"/>
    <w:rsid w:val="003F3665"/>
    <w:rsid w:val="003F5A0F"/>
    <w:rsid w:val="00401126"/>
    <w:rsid w:val="00412D00"/>
    <w:rsid w:val="00414B6D"/>
    <w:rsid w:val="00416671"/>
    <w:rsid w:val="00417A81"/>
    <w:rsid w:val="00420D5E"/>
    <w:rsid w:val="00422DA4"/>
    <w:rsid w:val="00430EA6"/>
    <w:rsid w:val="00436669"/>
    <w:rsid w:val="00437210"/>
    <w:rsid w:val="004404F2"/>
    <w:rsid w:val="00442123"/>
    <w:rsid w:val="00444D44"/>
    <w:rsid w:val="00444D95"/>
    <w:rsid w:val="00447BB9"/>
    <w:rsid w:val="004524F6"/>
    <w:rsid w:val="004531C6"/>
    <w:rsid w:val="004603E6"/>
    <w:rsid w:val="00460718"/>
    <w:rsid w:val="00463065"/>
    <w:rsid w:val="00464507"/>
    <w:rsid w:val="004658F5"/>
    <w:rsid w:val="00465F5D"/>
    <w:rsid w:val="004672F0"/>
    <w:rsid w:val="00470A40"/>
    <w:rsid w:val="004716C0"/>
    <w:rsid w:val="004832CB"/>
    <w:rsid w:val="0048499E"/>
    <w:rsid w:val="00485057"/>
    <w:rsid w:val="0048677C"/>
    <w:rsid w:val="00493079"/>
    <w:rsid w:val="00494DD5"/>
    <w:rsid w:val="00494F09"/>
    <w:rsid w:val="00497F79"/>
    <w:rsid w:val="004A05A2"/>
    <w:rsid w:val="004A0F78"/>
    <w:rsid w:val="004A2342"/>
    <w:rsid w:val="004A356B"/>
    <w:rsid w:val="004A4A30"/>
    <w:rsid w:val="004A6055"/>
    <w:rsid w:val="004B0EB3"/>
    <w:rsid w:val="004B391E"/>
    <w:rsid w:val="004B52CE"/>
    <w:rsid w:val="004B53CF"/>
    <w:rsid w:val="004B6104"/>
    <w:rsid w:val="004C0338"/>
    <w:rsid w:val="004C4CD2"/>
    <w:rsid w:val="004D09E7"/>
    <w:rsid w:val="004D09EA"/>
    <w:rsid w:val="004D0F34"/>
    <w:rsid w:val="004D3818"/>
    <w:rsid w:val="004D4045"/>
    <w:rsid w:val="004D4936"/>
    <w:rsid w:val="004E49D1"/>
    <w:rsid w:val="004E4DC2"/>
    <w:rsid w:val="004E6224"/>
    <w:rsid w:val="004E73D4"/>
    <w:rsid w:val="004E78D5"/>
    <w:rsid w:val="004F0D8B"/>
    <w:rsid w:val="004F1089"/>
    <w:rsid w:val="004F60BC"/>
    <w:rsid w:val="00500939"/>
    <w:rsid w:val="00501CEB"/>
    <w:rsid w:val="00504C6C"/>
    <w:rsid w:val="00510C88"/>
    <w:rsid w:val="00512810"/>
    <w:rsid w:val="00513CC2"/>
    <w:rsid w:val="0051471F"/>
    <w:rsid w:val="00514AF1"/>
    <w:rsid w:val="00516D9D"/>
    <w:rsid w:val="005179A9"/>
    <w:rsid w:val="005202EF"/>
    <w:rsid w:val="005212F3"/>
    <w:rsid w:val="00521577"/>
    <w:rsid w:val="00521A8D"/>
    <w:rsid w:val="005234F7"/>
    <w:rsid w:val="00524E04"/>
    <w:rsid w:val="00526BC6"/>
    <w:rsid w:val="00532D07"/>
    <w:rsid w:val="0053565F"/>
    <w:rsid w:val="00535C33"/>
    <w:rsid w:val="00535FAE"/>
    <w:rsid w:val="00536F17"/>
    <w:rsid w:val="005372E1"/>
    <w:rsid w:val="005402F5"/>
    <w:rsid w:val="005403A7"/>
    <w:rsid w:val="00540BC1"/>
    <w:rsid w:val="00542501"/>
    <w:rsid w:val="00545B44"/>
    <w:rsid w:val="00546381"/>
    <w:rsid w:val="00547DD0"/>
    <w:rsid w:val="0055069C"/>
    <w:rsid w:val="00552C8E"/>
    <w:rsid w:val="00553AE2"/>
    <w:rsid w:val="0055621E"/>
    <w:rsid w:val="005562BF"/>
    <w:rsid w:val="005563BB"/>
    <w:rsid w:val="005602D7"/>
    <w:rsid w:val="00561D22"/>
    <w:rsid w:val="00563C92"/>
    <w:rsid w:val="0056503F"/>
    <w:rsid w:val="00566072"/>
    <w:rsid w:val="0056788E"/>
    <w:rsid w:val="0057157C"/>
    <w:rsid w:val="00574553"/>
    <w:rsid w:val="00576E48"/>
    <w:rsid w:val="00577544"/>
    <w:rsid w:val="00580159"/>
    <w:rsid w:val="00580CB1"/>
    <w:rsid w:val="005811DC"/>
    <w:rsid w:val="005814B2"/>
    <w:rsid w:val="0058312D"/>
    <w:rsid w:val="00587569"/>
    <w:rsid w:val="00590420"/>
    <w:rsid w:val="005918F8"/>
    <w:rsid w:val="0059204D"/>
    <w:rsid w:val="00592874"/>
    <w:rsid w:val="005935DB"/>
    <w:rsid w:val="00594C27"/>
    <w:rsid w:val="00594D8C"/>
    <w:rsid w:val="00595FB7"/>
    <w:rsid w:val="005B0808"/>
    <w:rsid w:val="005B194B"/>
    <w:rsid w:val="005B5387"/>
    <w:rsid w:val="005B67AA"/>
    <w:rsid w:val="005C0D3B"/>
    <w:rsid w:val="005C445C"/>
    <w:rsid w:val="005C6186"/>
    <w:rsid w:val="005D1A88"/>
    <w:rsid w:val="005D1DB2"/>
    <w:rsid w:val="005E16E4"/>
    <w:rsid w:val="005E32CF"/>
    <w:rsid w:val="005E48C2"/>
    <w:rsid w:val="005F3D65"/>
    <w:rsid w:val="005F54D2"/>
    <w:rsid w:val="005F5C5E"/>
    <w:rsid w:val="005F6634"/>
    <w:rsid w:val="005F7DE4"/>
    <w:rsid w:val="00600A55"/>
    <w:rsid w:val="00602C23"/>
    <w:rsid w:val="00604EC1"/>
    <w:rsid w:val="00606BF3"/>
    <w:rsid w:val="00606F68"/>
    <w:rsid w:val="00611203"/>
    <w:rsid w:val="00611B8F"/>
    <w:rsid w:val="00611EF8"/>
    <w:rsid w:val="00612469"/>
    <w:rsid w:val="0061304E"/>
    <w:rsid w:val="006136CB"/>
    <w:rsid w:val="00614DBF"/>
    <w:rsid w:val="00615BCF"/>
    <w:rsid w:val="00616BBE"/>
    <w:rsid w:val="006178CA"/>
    <w:rsid w:val="006239FA"/>
    <w:rsid w:val="00623EA9"/>
    <w:rsid w:val="006246B2"/>
    <w:rsid w:val="006260C2"/>
    <w:rsid w:val="00627177"/>
    <w:rsid w:val="006343E2"/>
    <w:rsid w:val="00634941"/>
    <w:rsid w:val="0063596B"/>
    <w:rsid w:val="00636A09"/>
    <w:rsid w:val="00644347"/>
    <w:rsid w:val="0064507B"/>
    <w:rsid w:val="00645121"/>
    <w:rsid w:val="00652FA1"/>
    <w:rsid w:val="006563BF"/>
    <w:rsid w:val="006617DE"/>
    <w:rsid w:val="00663A87"/>
    <w:rsid w:val="00665382"/>
    <w:rsid w:val="0066713B"/>
    <w:rsid w:val="006675EF"/>
    <w:rsid w:val="00667885"/>
    <w:rsid w:val="00671E83"/>
    <w:rsid w:val="00675EC8"/>
    <w:rsid w:val="006825F3"/>
    <w:rsid w:val="00683BB5"/>
    <w:rsid w:val="0068553D"/>
    <w:rsid w:val="006872E6"/>
    <w:rsid w:val="00687AF9"/>
    <w:rsid w:val="00691097"/>
    <w:rsid w:val="006922B1"/>
    <w:rsid w:val="00694179"/>
    <w:rsid w:val="00695ED9"/>
    <w:rsid w:val="00697C13"/>
    <w:rsid w:val="006A13FA"/>
    <w:rsid w:val="006A4A5F"/>
    <w:rsid w:val="006A4B12"/>
    <w:rsid w:val="006A520F"/>
    <w:rsid w:val="006B038D"/>
    <w:rsid w:val="006B1152"/>
    <w:rsid w:val="006B116E"/>
    <w:rsid w:val="006B1315"/>
    <w:rsid w:val="006B1524"/>
    <w:rsid w:val="006B2A1B"/>
    <w:rsid w:val="006B3EAE"/>
    <w:rsid w:val="006B4C9D"/>
    <w:rsid w:val="006C067A"/>
    <w:rsid w:val="006C0A39"/>
    <w:rsid w:val="006C184C"/>
    <w:rsid w:val="006C22C2"/>
    <w:rsid w:val="006D1081"/>
    <w:rsid w:val="006D152F"/>
    <w:rsid w:val="006D31EA"/>
    <w:rsid w:val="006D3263"/>
    <w:rsid w:val="006D66A6"/>
    <w:rsid w:val="006E3194"/>
    <w:rsid w:val="006E4138"/>
    <w:rsid w:val="006F04E7"/>
    <w:rsid w:val="006F0739"/>
    <w:rsid w:val="006F28D2"/>
    <w:rsid w:val="006F29AE"/>
    <w:rsid w:val="006F2CE7"/>
    <w:rsid w:val="006F5D2B"/>
    <w:rsid w:val="006F78FA"/>
    <w:rsid w:val="007017A7"/>
    <w:rsid w:val="007036CE"/>
    <w:rsid w:val="007077CC"/>
    <w:rsid w:val="007078C0"/>
    <w:rsid w:val="007172F7"/>
    <w:rsid w:val="00717C45"/>
    <w:rsid w:val="00717E31"/>
    <w:rsid w:val="00720463"/>
    <w:rsid w:val="00721646"/>
    <w:rsid w:val="00721FB4"/>
    <w:rsid w:val="007264CB"/>
    <w:rsid w:val="00730409"/>
    <w:rsid w:val="0073080C"/>
    <w:rsid w:val="007324D2"/>
    <w:rsid w:val="00735933"/>
    <w:rsid w:val="00737F50"/>
    <w:rsid w:val="00741C00"/>
    <w:rsid w:val="00742C37"/>
    <w:rsid w:val="00744DCD"/>
    <w:rsid w:val="00744E89"/>
    <w:rsid w:val="00745227"/>
    <w:rsid w:val="00745A15"/>
    <w:rsid w:val="00746045"/>
    <w:rsid w:val="00747231"/>
    <w:rsid w:val="007501A1"/>
    <w:rsid w:val="0075177B"/>
    <w:rsid w:val="00751B0B"/>
    <w:rsid w:val="00753795"/>
    <w:rsid w:val="00753CC9"/>
    <w:rsid w:val="0075590E"/>
    <w:rsid w:val="00755A9D"/>
    <w:rsid w:val="0076111B"/>
    <w:rsid w:val="007617BD"/>
    <w:rsid w:val="00761C25"/>
    <w:rsid w:val="007640B8"/>
    <w:rsid w:val="00767981"/>
    <w:rsid w:val="007721F3"/>
    <w:rsid w:val="00772DEA"/>
    <w:rsid w:val="00776F3D"/>
    <w:rsid w:val="00782F49"/>
    <w:rsid w:val="00790A9A"/>
    <w:rsid w:val="00792C2E"/>
    <w:rsid w:val="0079323C"/>
    <w:rsid w:val="0079404E"/>
    <w:rsid w:val="0079503C"/>
    <w:rsid w:val="00795FC9"/>
    <w:rsid w:val="007A6733"/>
    <w:rsid w:val="007A69F0"/>
    <w:rsid w:val="007A7DB1"/>
    <w:rsid w:val="007B2C4A"/>
    <w:rsid w:val="007B4356"/>
    <w:rsid w:val="007B4926"/>
    <w:rsid w:val="007B4DA7"/>
    <w:rsid w:val="007C074F"/>
    <w:rsid w:val="007C2615"/>
    <w:rsid w:val="007C3789"/>
    <w:rsid w:val="007C735D"/>
    <w:rsid w:val="007D641B"/>
    <w:rsid w:val="007E0F03"/>
    <w:rsid w:val="007E43D9"/>
    <w:rsid w:val="007E6771"/>
    <w:rsid w:val="007F1784"/>
    <w:rsid w:val="007F6923"/>
    <w:rsid w:val="008014B8"/>
    <w:rsid w:val="00803798"/>
    <w:rsid w:val="008073B9"/>
    <w:rsid w:val="00812DA4"/>
    <w:rsid w:val="008132DD"/>
    <w:rsid w:val="00813773"/>
    <w:rsid w:val="0081462A"/>
    <w:rsid w:val="008147F0"/>
    <w:rsid w:val="00815423"/>
    <w:rsid w:val="00815A40"/>
    <w:rsid w:val="00815BBF"/>
    <w:rsid w:val="00815DA5"/>
    <w:rsid w:val="008175D0"/>
    <w:rsid w:val="008204D0"/>
    <w:rsid w:val="00821475"/>
    <w:rsid w:val="0082154D"/>
    <w:rsid w:val="00821BE2"/>
    <w:rsid w:val="0082353B"/>
    <w:rsid w:val="008242DD"/>
    <w:rsid w:val="00825688"/>
    <w:rsid w:val="008257E0"/>
    <w:rsid w:val="00827F54"/>
    <w:rsid w:val="00831902"/>
    <w:rsid w:val="0083287A"/>
    <w:rsid w:val="00835588"/>
    <w:rsid w:val="00836E02"/>
    <w:rsid w:val="00843D47"/>
    <w:rsid w:val="008547D1"/>
    <w:rsid w:val="00854D5B"/>
    <w:rsid w:val="008614DB"/>
    <w:rsid w:val="00861D36"/>
    <w:rsid w:val="00862A6E"/>
    <w:rsid w:val="00866B28"/>
    <w:rsid w:val="008819BE"/>
    <w:rsid w:val="00885B32"/>
    <w:rsid w:val="008872C8"/>
    <w:rsid w:val="00890174"/>
    <w:rsid w:val="008938C7"/>
    <w:rsid w:val="00893C28"/>
    <w:rsid w:val="008A06DF"/>
    <w:rsid w:val="008A10BD"/>
    <w:rsid w:val="008A13A3"/>
    <w:rsid w:val="008A2632"/>
    <w:rsid w:val="008A29D9"/>
    <w:rsid w:val="008B0D0A"/>
    <w:rsid w:val="008B3230"/>
    <w:rsid w:val="008B5775"/>
    <w:rsid w:val="008C1A93"/>
    <w:rsid w:val="008C5DF1"/>
    <w:rsid w:val="008D00A1"/>
    <w:rsid w:val="008D5CBA"/>
    <w:rsid w:val="008D6161"/>
    <w:rsid w:val="008D73A0"/>
    <w:rsid w:val="008E025D"/>
    <w:rsid w:val="008E0293"/>
    <w:rsid w:val="008E36E3"/>
    <w:rsid w:val="008F0B07"/>
    <w:rsid w:val="008F23B1"/>
    <w:rsid w:val="008F2A1D"/>
    <w:rsid w:val="00902E47"/>
    <w:rsid w:val="00902EEC"/>
    <w:rsid w:val="0090746B"/>
    <w:rsid w:val="00914120"/>
    <w:rsid w:val="009158CB"/>
    <w:rsid w:val="00916018"/>
    <w:rsid w:val="00916297"/>
    <w:rsid w:val="00920A26"/>
    <w:rsid w:val="009259E0"/>
    <w:rsid w:val="00926392"/>
    <w:rsid w:val="0093382B"/>
    <w:rsid w:val="00934230"/>
    <w:rsid w:val="009349C1"/>
    <w:rsid w:val="00941516"/>
    <w:rsid w:val="0094322D"/>
    <w:rsid w:val="00943918"/>
    <w:rsid w:val="009461D0"/>
    <w:rsid w:val="0095041D"/>
    <w:rsid w:val="00960285"/>
    <w:rsid w:val="00961C04"/>
    <w:rsid w:val="00964580"/>
    <w:rsid w:val="00966AEF"/>
    <w:rsid w:val="00971EA9"/>
    <w:rsid w:val="00972888"/>
    <w:rsid w:val="0097521D"/>
    <w:rsid w:val="0098069B"/>
    <w:rsid w:val="0098099B"/>
    <w:rsid w:val="009849BC"/>
    <w:rsid w:val="0098565A"/>
    <w:rsid w:val="009A547D"/>
    <w:rsid w:val="009B28F1"/>
    <w:rsid w:val="009B35BA"/>
    <w:rsid w:val="009B6DFF"/>
    <w:rsid w:val="009C13FA"/>
    <w:rsid w:val="009C4299"/>
    <w:rsid w:val="009C4D7A"/>
    <w:rsid w:val="009C5637"/>
    <w:rsid w:val="009C6349"/>
    <w:rsid w:val="009C78C8"/>
    <w:rsid w:val="009D3CF2"/>
    <w:rsid w:val="009D5E0F"/>
    <w:rsid w:val="009D7D84"/>
    <w:rsid w:val="009E0B96"/>
    <w:rsid w:val="009E11DE"/>
    <w:rsid w:val="009E2E2D"/>
    <w:rsid w:val="009E7941"/>
    <w:rsid w:val="009F0C36"/>
    <w:rsid w:val="009F4DA1"/>
    <w:rsid w:val="009F5250"/>
    <w:rsid w:val="009F6F4C"/>
    <w:rsid w:val="00A004AC"/>
    <w:rsid w:val="00A00B9C"/>
    <w:rsid w:val="00A00D20"/>
    <w:rsid w:val="00A019BE"/>
    <w:rsid w:val="00A01F72"/>
    <w:rsid w:val="00A0389D"/>
    <w:rsid w:val="00A0505C"/>
    <w:rsid w:val="00A06866"/>
    <w:rsid w:val="00A0738E"/>
    <w:rsid w:val="00A109A6"/>
    <w:rsid w:val="00A12030"/>
    <w:rsid w:val="00A12F63"/>
    <w:rsid w:val="00A14F55"/>
    <w:rsid w:val="00A17A0C"/>
    <w:rsid w:val="00A22FB5"/>
    <w:rsid w:val="00A22FBC"/>
    <w:rsid w:val="00A27496"/>
    <w:rsid w:val="00A3613B"/>
    <w:rsid w:val="00A41853"/>
    <w:rsid w:val="00A46144"/>
    <w:rsid w:val="00A469F0"/>
    <w:rsid w:val="00A505DF"/>
    <w:rsid w:val="00A531BE"/>
    <w:rsid w:val="00A53AB5"/>
    <w:rsid w:val="00A54B9C"/>
    <w:rsid w:val="00A57895"/>
    <w:rsid w:val="00A613B0"/>
    <w:rsid w:val="00A62414"/>
    <w:rsid w:val="00A7140A"/>
    <w:rsid w:val="00A779B5"/>
    <w:rsid w:val="00A807A7"/>
    <w:rsid w:val="00A8297C"/>
    <w:rsid w:val="00A82FC5"/>
    <w:rsid w:val="00A8333C"/>
    <w:rsid w:val="00A83916"/>
    <w:rsid w:val="00A84F8D"/>
    <w:rsid w:val="00A851B5"/>
    <w:rsid w:val="00A85D9E"/>
    <w:rsid w:val="00A8715B"/>
    <w:rsid w:val="00A904BE"/>
    <w:rsid w:val="00A9231B"/>
    <w:rsid w:val="00A9236A"/>
    <w:rsid w:val="00A94EFA"/>
    <w:rsid w:val="00A95C4E"/>
    <w:rsid w:val="00A97FB9"/>
    <w:rsid w:val="00AA1E02"/>
    <w:rsid w:val="00AA29A3"/>
    <w:rsid w:val="00AA560B"/>
    <w:rsid w:val="00AA788D"/>
    <w:rsid w:val="00AB0EF6"/>
    <w:rsid w:val="00AB22B5"/>
    <w:rsid w:val="00AB327A"/>
    <w:rsid w:val="00AB4CE9"/>
    <w:rsid w:val="00AB5741"/>
    <w:rsid w:val="00AB75A5"/>
    <w:rsid w:val="00AB75F7"/>
    <w:rsid w:val="00AB795E"/>
    <w:rsid w:val="00AC0EAC"/>
    <w:rsid w:val="00AC2FF5"/>
    <w:rsid w:val="00AC5751"/>
    <w:rsid w:val="00AD0769"/>
    <w:rsid w:val="00AD0BD6"/>
    <w:rsid w:val="00AD55F6"/>
    <w:rsid w:val="00AD5849"/>
    <w:rsid w:val="00AD5CF3"/>
    <w:rsid w:val="00AD6CB6"/>
    <w:rsid w:val="00AD7D90"/>
    <w:rsid w:val="00AE128A"/>
    <w:rsid w:val="00AE182C"/>
    <w:rsid w:val="00AE2A2F"/>
    <w:rsid w:val="00AE2AFD"/>
    <w:rsid w:val="00AE3D94"/>
    <w:rsid w:val="00AE4142"/>
    <w:rsid w:val="00AE60D7"/>
    <w:rsid w:val="00AE777E"/>
    <w:rsid w:val="00AF5045"/>
    <w:rsid w:val="00B002DB"/>
    <w:rsid w:val="00B01442"/>
    <w:rsid w:val="00B0497A"/>
    <w:rsid w:val="00B052FB"/>
    <w:rsid w:val="00B05A2A"/>
    <w:rsid w:val="00B11981"/>
    <w:rsid w:val="00B12FCB"/>
    <w:rsid w:val="00B1390B"/>
    <w:rsid w:val="00B14D8D"/>
    <w:rsid w:val="00B16E33"/>
    <w:rsid w:val="00B1729F"/>
    <w:rsid w:val="00B21FAA"/>
    <w:rsid w:val="00B234CF"/>
    <w:rsid w:val="00B2438B"/>
    <w:rsid w:val="00B24798"/>
    <w:rsid w:val="00B25C20"/>
    <w:rsid w:val="00B27683"/>
    <w:rsid w:val="00B31E1A"/>
    <w:rsid w:val="00B32B8C"/>
    <w:rsid w:val="00B43C16"/>
    <w:rsid w:val="00B471F3"/>
    <w:rsid w:val="00B47D80"/>
    <w:rsid w:val="00B50EB0"/>
    <w:rsid w:val="00B5110E"/>
    <w:rsid w:val="00B51F9D"/>
    <w:rsid w:val="00B5229F"/>
    <w:rsid w:val="00B539EA"/>
    <w:rsid w:val="00B569F5"/>
    <w:rsid w:val="00B57292"/>
    <w:rsid w:val="00B57DD7"/>
    <w:rsid w:val="00B628DF"/>
    <w:rsid w:val="00B642E1"/>
    <w:rsid w:val="00B666F0"/>
    <w:rsid w:val="00B72E3B"/>
    <w:rsid w:val="00B77643"/>
    <w:rsid w:val="00B80F93"/>
    <w:rsid w:val="00B810DF"/>
    <w:rsid w:val="00B82807"/>
    <w:rsid w:val="00B87CFB"/>
    <w:rsid w:val="00B87D28"/>
    <w:rsid w:val="00B92738"/>
    <w:rsid w:val="00B93D3B"/>
    <w:rsid w:val="00B94C5C"/>
    <w:rsid w:val="00BA1B16"/>
    <w:rsid w:val="00BA445F"/>
    <w:rsid w:val="00BA71DE"/>
    <w:rsid w:val="00BB29A9"/>
    <w:rsid w:val="00BB6E29"/>
    <w:rsid w:val="00BC165B"/>
    <w:rsid w:val="00BC1D9F"/>
    <w:rsid w:val="00BC2E98"/>
    <w:rsid w:val="00BC5B92"/>
    <w:rsid w:val="00BC5F64"/>
    <w:rsid w:val="00BC7BD5"/>
    <w:rsid w:val="00BD0C92"/>
    <w:rsid w:val="00BD10BD"/>
    <w:rsid w:val="00BD281A"/>
    <w:rsid w:val="00BD416A"/>
    <w:rsid w:val="00BD71E0"/>
    <w:rsid w:val="00BD7805"/>
    <w:rsid w:val="00BE5A62"/>
    <w:rsid w:val="00BE6EA4"/>
    <w:rsid w:val="00BE769A"/>
    <w:rsid w:val="00BF2703"/>
    <w:rsid w:val="00BF2C80"/>
    <w:rsid w:val="00BF3F60"/>
    <w:rsid w:val="00BF4284"/>
    <w:rsid w:val="00BF518C"/>
    <w:rsid w:val="00C00909"/>
    <w:rsid w:val="00C02850"/>
    <w:rsid w:val="00C032E0"/>
    <w:rsid w:val="00C0346B"/>
    <w:rsid w:val="00C120AC"/>
    <w:rsid w:val="00C12966"/>
    <w:rsid w:val="00C13D5F"/>
    <w:rsid w:val="00C13EC9"/>
    <w:rsid w:val="00C1411F"/>
    <w:rsid w:val="00C15663"/>
    <w:rsid w:val="00C16898"/>
    <w:rsid w:val="00C20B34"/>
    <w:rsid w:val="00C20FAE"/>
    <w:rsid w:val="00C24021"/>
    <w:rsid w:val="00C2560F"/>
    <w:rsid w:val="00C25889"/>
    <w:rsid w:val="00C3045C"/>
    <w:rsid w:val="00C3170D"/>
    <w:rsid w:val="00C33601"/>
    <w:rsid w:val="00C36A12"/>
    <w:rsid w:val="00C40CD5"/>
    <w:rsid w:val="00C411B4"/>
    <w:rsid w:val="00C43D92"/>
    <w:rsid w:val="00C45F72"/>
    <w:rsid w:val="00C47F2C"/>
    <w:rsid w:val="00C50EA9"/>
    <w:rsid w:val="00C5350A"/>
    <w:rsid w:val="00C564D7"/>
    <w:rsid w:val="00C60FAA"/>
    <w:rsid w:val="00C6351E"/>
    <w:rsid w:val="00C648FF"/>
    <w:rsid w:val="00C717CE"/>
    <w:rsid w:val="00C71CFB"/>
    <w:rsid w:val="00C743CB"/>
    <w:rsid w:val="00C821D2"/>
    <w:rsid w:val="00C82603"/>
    <w:rsid w:val="00C84EBD"/>
    <w:rsid w:val="00C8646A"/>
    <w:rsid w:val="00C92216"/>
    <w:rsid w:val="00C928CF"/>
    <w:rsid w:val="00C9495E"/>
    <w:rsid w:val="00C97180"/>
    <w:rsid w:val="00C978D3"/>
    <w:rsid w:val="00CA009F"/>
    <w:rsid w:val="00CA04DB"/>
    <w:rsid w:val="00CA12CB"/>
    <w:rsid w:val="00CA260C"/>
    <w:rsid w:val="00CA42F4"/>
    <w:rsid w:val="00CA48B1"/>
    <w:rsid w:val="00CB37A6"/>
    <w:rsid w:val="00CB3AF2"/>
    <w:rsid w:val="00CB7AD7"/>
    <w:rsid w:val="00CB7BAC"/>
    <w:rsid w:val="00CC3EB0"/>
    <w:rsid w:val="00CC3EBF"/>
    <w:rsid w:val="00CC64CA"/>
    <w:rsid w:val="00CD0D01"/>
    <w:rsid w:val="00CD2380"/>
    <w:rsid w:val="00CD446F"/>
    <w:rsid w:val="00CD4885"/>
    <w:rsid w:val="00CD76EB"/>
    <w:rsid w:val="00CE17CD"/>
    <w:rsid w:val="00CE261E"/>
    <w:rsid w:val="00CE485F"/>
    <w:rsid w:val="00CE65A8"/>
    <w:rsid w:val="00CF060A"/>
    <w:rsid w:val="00CF1EE9"/>
    <w:rsid w:val="00D06EC9"/>
    <w:rsid w:val="00D0711B"/>
    <w:rsid w:val="00D15511"/>
    <w:rsid w:val="00D22FB6"/>
    <w:rsid w:val="00D266B7"/>
    <w:rsid w:val="00D27373"/>
    <w:rsid w:val="00D27F0E"/>
    <w:rsid w:val="00D308F5"/>
    <w:rsid w:val="00D30BF0"/>
    <w:rsid w:val="00D32F42"/>
    <w:rsid w:val="00D4348B"/>
    <w:rsid w:val="00D4585C"/>
    <w:rsid w:val="00D46BC0"/>
    <w:rsid w:val="00D519A0"/>
    <w:rsid w:val="00D530CA"/>
    <w:rsid w:val="00D573FC"/>
    <w:rsid w:val="00D57431"/>
    <w:rsid w:val="00D60D12"/>
    <w:rsid w:val="00D63A39"/>
    <w:rsid w:val="00D640B7"/>
    <w:rsid w:val="00D6694B"/>
    <w:rsid w:val="00D66C3C"/>
    <w:rsid w:val="00D7026F"/>
    <w:rsid w:val="00D70E53"/>
    <w:rsid w:val="00D72781"/>
    <w:rsid w:val="00D7408F"/>
    <w:rsid w:val="00D74A60"/>
    <w:rsid w:val="00D75622"/>
    <w:rsid w:val="00D8256B"/>
    <w:rsid w:val="00D82CE9"/>
    <w:rsid w:val="00D90660"/>
    <w:rsid w:val="00D90B96"/>
    <w:rsid w:val="00DA26BC"/>
    <w:rsid w:val="00DA2E24"/>
    <w:rsid w:val="00DA6CB5"/>
    <w:rsid w:val="00DB169D"/>
    <w:rsid w:val="00DB2559"/>
    <w:rsid w:val="00DB2755"/>
    <w:rsid w:val="00DB63CC"/>
    <w:rsid w:val="00DB674C"/>
    <w:rsid w:val="00DC36DF"/>
    <w:rsid w:val="00DC54B8"/>
    <w:rsid w:val="00DC6E8D"/>
    <w:rsid w:val="00DD7354"/>
    <w:rsid w:val="00DE0A28"/>
    <w:rsid w:val="00DE2AAF"/>
    <w:rsid w:val="00DE3852"/>
    <w:rsid w:val="00DE531F"/>
    <w:rsid w:val="00DE6C99"/>
    <w:rsid w:val="00DE72D1"/>
    <w:rsid w:val="00DF22D8"/>
    <w:rsid w:val="00DF233D"/>
    <w:rsid w:val="00DF5B46"/>
    <w:rsid w:val="00DF5C58"/>
    <w:rsid w:val="00DF6D99"/>
    <w:rsid w:val="00DF724E"/>
    <w:rsid w:val="00E0770B"/>
    <w:rsid w:val="00E130C4"/>
    <w:rsid w:val="00E141E1"/>
    <w:rsid w:val="00E14CDD"/>
    <w:rsid w:val="00E17CCB"/>
    <w:rsid w:val="00E237CF"/>
    <w:rsid w:val="00E3070A"/>
    <w:rsid w:val="00E31248"/>
    <w:rsid w:val="00E32123"/>
    <w:rsid w:val="00E33904"/>
    <w:rsid w:val="00E344AF"/>
    <w:rsid w:val="00E36631"/>
    <w:rsid w:val="00E467DB"/>
    <w:rsid w:val="00E512BE"/>
    <w:rsid w:val="00E5572B"/>
    <w:rsid w:val="00E61CB1"/>
    <w:rsid w:val="00E6213A"/>
    <w:rsid w:val="00E62B10"/>
    <w:rsid w:val="00E62CEE"/>
    <w:rsid w:val="00E742E7"/>
    <w:rsid w:val="00E77320"/>
    <w:rsid w:val="00E8052A"/>
    <w:rsid w:val="00E80BFE"/>
    <w:rsid w:val="00E85AE9"/>
    <w:rsid w:val="00E85E06"/>
    <w:rsid w:val="00E879F0"/>
    <w:rsid w:val="00E914AB"/>
    <w:rsid w:val="00E91FAF"/>
    <w:rsid w:val="00E92F0D"/>
    <w:rsid w:val="00EA23E5"/>
    <w:rsid w:val="00EA3B4B"/>
    <w:rsid w:val="00EA52BB"/>
    <w:rsid w:val="00EB07C1"/>
    <w:rsid w:val="00EB3DE4"/>
    <w:rsid w:val="00EB5FE1"/>
    <w:rsid w:val="00EB7398"/>
    <w:rsid w:val="00EC0820"/>
    <w:rsid w:val="00EC5A5F"/>
    <w:rsid w:val="00EC72A2"/>
    <w:rsid w:val="00ED0889"/>
    <w:rsid w:val="00ED171C"/>
    <w:rsid w:val="00ED26DF"/>
    <w:rsid w:val="00ED4972"/>
    <w:rsid w:val="00ED4C4E"/>
    <w:rsid w:val="00ED5DC5"/>
    <w:rsid w:val="00ED7D1A"/>
    <w:rsid w:val="00EE4EC2"/>
    <w:rsid w:val="00EF0B1F"/>
    <w:rsid w:val="00EF2982"/>
    <w:rsid w:val="00EF4FB2"/>
    <w:rsid w:val="00EF5810"/>
    <w:rsid w:val="00EF7830"/>
    <w:rsid w:val="00F00668"/>
    <w:rsid w:val="00F01313"/>
    <w:rsid w:val="00F015BE"/>
    <w:rsid w:val="00F02E0E"/>
    <w:rsid w:val="00F03F19"/>
    <w:rsid w:val="00F053E3"/>
    <w:rsid w:val="00F06B12"/>
    <w:rsid w:val="00F10272"/>
    <w:rsid w:val="00F112FA"/>
    <w:rsid w:val="00F117CA"/>
    <w:rsid w:val="00F136C9"/>
    <w:rsid w:val="00F1446E"/>
    <w:rsid w:val="00F20BBB"/>
    <w:rsid w:val="00F225A7"/>
    <w:rsid w:val="00F230AD"/>
    <w:rsid w:val="00F237E3"/>
    <w:rsid w:val="00F2388A"/>
    <w:rsid w:val="00F238AD"/>
    <w:rsid w:val="00F23BDE"/>
    <w:rsid w:val="00F24192"/>
    <w:rsid w:val="00F24E09"/>
    <w:rsid w:val="00F24F55"/>
    <w:rsid w:val="00F31269"/>
    <w:rsid w:val="00F32942"/>
    <w:rsid w:val="00F37CC9"/>
    <w:rsid w:val="00F4424D"/>
    <w:rsid w:val="00F447FA"/>
    <w:rsid w:val="00F46261"/>
    <w:rsid w:val="00F46F0E"/>
    <w:rsid w:val="00F47037"/>
    <w:rsid w:val="00F517A5"/>
    <w:rsid w:val="00F53FEE"/>
    <w:rsid w:val="00F54DB8"/>
    <w:rsid w:val="00F54E0D"/>
    <w:rsid w:val="00F56697"/>
    <w:rsid w:val="00F579B9"/>
    <w:rsid w:val="00F61AD8"/>
    <w:rsid w:val="00F6257E"/>
    <w:rsid w:val="00F65CF2"/>
    <w:rsid w:val="00F66046"/>
    <w:rsid w:val="00F66422"/>
    <w:rsid w:val="00F75239"/>
    <w:rsid w:val="00F7595A"/>
    <w:rsid w:val="00F84A91"/>
    <w:rsid w:val="00FA0244"/>
    <w:rsid w:val="00FA16DC"/>
    <w:rsid w:val="00FA18BC"/>
    <w:rsid w:val="00FA2A7A"/>
    <w:rsid w:val="00FA6B3F"/>
    <w:rsid w:val="00FA7F99"/>
    <w:rsid w:val="00FB0AAE"/>
    <w:rsid w:val="00FB1194"/>
    <w:rsid w:val="00FB410B"/>
    <w:rsid w:val="00FB477A"/>
    <w:rsid w:val="00FB529D"/>
    <w:rsid w:val="00FB776B"/>
    <w:rsid w:val="00FC3E09"/>
    <w:rsid w:val="00FC52EA"/>
    <w:rsid w:val="00FC5FEB"/>
    <w:rsid w:val="00FC6052"/>
    <w:rsid w:val="00FC733D"/>
    <w:rsid w:val="00FC7980"/>
    <w:rsid w:val="00FD0BE3"/>
    <w:rsid w:val="00FD2E95"/>
    <w:rsid w:val="00FD37BA"/>
    <w:rsid w:val="00FD3E62"/>
    <w:rsid w:val="00FD52B0"/>
    <w:rsid w:val="00FE406A"/>
    <w:rsid w:val="00FE44A0"/>
    <w:rsid w:val="00FE49AC"/>
    <w:rsid w:val="00FE5CCC"/>
    <w:rsid w:val="00FE6D98"/>
    <w:rsid w:val="00FF6D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C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44"/>
    <w:rPr>
      <w:rFonts w:ascii="Arial" w:hAnsi="Arial"/>
    </w:rPr>
  </w:style>
  <w:style w:type="paragraph" w:styleId="Heading1">
    <w:name w:val="heading 1"/>
    <w:link w:val="Heading1Char"/>
    <w:uiPriority w:val="9"/>
    <w:qFormat/>
    <w:rsid w:val="00337FB8"/>
    <w:pPr>
      <w:spacing w:before="100" w:beforeAutospacing="1" w:after="100" w:afterAutospacing="1" w:line="240" w:lineRule="auto"/>
      <w:outlineLvl w:val="0"/>
    </w:pPr>
    <w:rPr>
      <w:rFonts w:ascii="Calibri" w:eastAsia="Times New Roman" w:hAnsi="Calibri" w:cs="Times New Roman"/>
      <w:b/>
      <w:bCs/>
      <w:kern w:val="36"/>
      <w:sz w:val="32"/>
      <w:szCs w:val="48"/>
      <w:lang w:eastAsia="en-AU"/>
    </w:rPr>
  </w:style>
  <w:style w:type="paragraph" w:styleId="Heading2">
    <w:name w:val="heading 2"/>
    <w:basedOn w:val="Normal"/>
    <w:next w:val="Normal"/>
    <w:link w:val="Heading2Char"/>
    <w:uiPriority w:val="9"/>
    <w:unhideWhenUsed/>
    <w:qFormat/>
    <w:rsid w:val="000C11AB"/>
    <w:pPr>
      <w:autoSpaceDE w:val="0"/>
      <w:autoSpaceDN w:val="0"/>
      <w:adjustRightInd w:val="0"/>
      <w:spacing w:after="173" w:line="240" w:lineRule="auto"/>
      <w:outlineLvl w:val="1"/>
    </w:pPr>
    <w:rPr>
      <w:rFonts w:ascii="Calibri" w:hAnsi="Calibri"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script">
    <w:name w:val="Superscript"/>
    <w:basedOn w:val="Normal"/>
    <w:link w:val="SuperscriptChar"/>
    <w:qFormat/>
    <w:rsid w:val="00444D44"/>
    <w:rPr>
      <w:vertAlign w:val="superscript"/>
    </w:rPr>
  </w:style>
  <w:style w:type="character" w:customStyle="1" w:styleId="SuperscriptChar">
    <w:name w:val="Superscript Char"/>
    <w:basedOn w:val="DefaultParagraphFont"/>
    <w:link w:val="Superscript"/>
    <w:rsid w:val="00444D44"/>
    <w:rPr>
      <w:rFonts w:ascii="Arial" w:hAnsi="Arial"/>
      <w:vertAlign w:val="superscript"/>
    </w:rPr>
  </w:style>
  <w:style w:type="character" w:styleId="CommentReference">
    <w:name w:val="annotation reference"/>
    <w:basedOn w:val="DefaultParagraphFont"/>
    <w:uiPriority w:val="99"/>
    <w:semiHidden/>
    <w:unhideWhenUsed/>
    <w:rsid w:val="00FA0244"/>
    <w:rPr>
      <w:sz w:val="16"/>
      <w:szCs w:val="16"/>
    </w:rPr>
  </w:style>
  <w:style w:type="paragraph" w:styleId="CommentText">
    <w:name w:val="annotation text"/>
    <w:basedOn w:val="Normal"/>
    <w:link w:val="CommentTextChar"/>
    <w:uiPriority w:val="99"/>
    <w:unhideWhenUsed/>
    <w:rsid w:val="00FA0244"/>
    <w:pPr>
      <w:spacing w:line="240" w:lineRule="auto"/>
    </w:pPr>
    <w:rPr>
      <w:sz w:val="20"/>
      <w:szCs w:val="20"/>
    </w:rPr>
  </w:style>
  <w:style w:type="character" w:customStyle="1" w:styleId="CommentTextChar">
    <w:name w:val="Comment Text Char"/>
    <w:basedOn w:val="DefaultParagraphFont"/>
    <w:link w:val="CommentText"/>
    <w:uiPriority w:val="99"/>
    <w:rsid w:val="00FA0244"/>
    <w:rPr>
      <w:sz w:val="20"/>
      <w:szCs w:val="20"/>
    </w:rPr>
  </w:style>
  <w:style w:type="paragraph" w:styleId="CommentSubject">
    <w:name w:val="annotation subject"/>
    <w:basedOn w:val="CommentText"/>
    <w:next w:val="CommentText"/>
    <w:link w:val="CommentSubjectChar"/>
    <w:uiPriority w:val="99"/>
    <w:semiHidden/>
    <w:unhideWhenUsed/>
    <w:rsid w:val="00FA0244"/>
    <w:rPr>
      <w:b/>
      <w:bCs/>
    </w:rPr>
  </w:style>
  <w:style w:type="character" w:customStyle="1" w:styleId="CommentSubjectChar">
    <w:name w:val="Comment Subject Char"/>
    <w:basedOn w:val="CommentTextChar"/>
    <w:link w:val="CommentSubject"/>
    <w:uiPriority w:val="99"/>
    <w:semiHidden/>
    <w:rsid w:val="00FA0244"/>
    <w:rPr>
      <w:b/>
      <w:bCs/>
      <w:sz w:val="20"/>
      <w:szCs w:val="20"/>
    </w:rPr>
  </w:style>
  <w:style w:type="paragraph" w:styleId="Header">
    <w:name w:val="header"/>
    <w:basedOn w:val="Normal"/>
    <w:link w:val="HeaderChar"/>
    <w:uiPriority w:val="99"/>
    <w:unhideWhenUsed/>
    <w:rsid w:val="00C13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5F"/>
  </w:style>
  <w:style w:type="paragraph" w:styleId="Footer">
    <w:name w:val="footer"/>
    <w:basedOn w:val="Normal"/>
    <w:link w:val="FooterChar"/>
    <w:uiPriority w:val="99"/>
    <w:unhideWhenUsed/>
    <w:rsid w:val="00C13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5F"/>
  </w:style>
  <w:style w:type="table" w:styleId="TableGrid">
    <w:name w:val="Table Grid"/>
    <w:basedOn w:val="TableNormal"/>
    <w:uiPriority w:val="39"/>
    <w:rsid w:val="0033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StylePr>
  </w:style>
  <w:style w:type="paragraph" w:styleId="FootnoteText">
    <w:name w:val="footnote text"/>
    <w:basedOn w:val="Normal"/>
    <w:link w:val="FootnoteTextChar"/>
    <w:uiPriority w:val="99"/>
    <w:unhideWhenUsed/>
    <w:rsid w:val="0081377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13773"/>
    <w:rPr>
      <w:rFonts w:ascii="Arial" w:eastAsia="Times New Roman" w:hAnsi="Arial" w:cs="Times New Roman"/>
      <w:sz w:val="20"/>
      <w:szCs w:val="20"/>
    </w:rPr>
  </w:style>
  <w:style w:type="character" w:styleId="FootnoteReference">
    <w:name w:val="footnote reference"/>
    <w:basedOn w:val="DefaultParagraphFont"/>
    <w:uiPriority w:val="99"/>
    <w:unhideWhenUsed/>
    <w:rsid w:val="00813773"/>
    <w:rPr>
      <w:vertAlign w:val="superscript"/>
    </w:rPr>
  </w:style>
  <w:style w:type="character" w:styleId="Hyperlink">
    <w:name w:val="Hyperlink"/>
    <w:basedOn w:val="DefaultParagraphFont"/>
    <w:uiPriority w:val="99"/>
    <w:unhideWhenUsed/>
    <w:rsid w:val="00813773"/>
    <w:rPr>
      <w:color w:val="0563C1" w:themeColor="hyperlink"/>
      <w:u w:val="single"/>
    </w:rPr>
  </w:style>
  <w:style w:type="paragraph" w:customStyle="1" w:styleId="ShortT">
    <w:name w:val="ShortT"/>
    <w:basedOn w:val="Normal"/>
    <w:next w:val="Normal"/>
    <w:qFormat/>
    <w:rsid w:val="00E36631"/>
    <w:pPr>
      <w:spacing w:after="0" w:line="240" w:lineRule="auto"/>
    </w:pPr>
    <w:rPr>
      <w:rFonts w:ascii="Times New Roman" w:eastAsia="Times New Roman" w:hAnsi="Times New Roman" w:cs="Times New Roman"/>
      <w:b/>
      <w:sz w:val="40"/>
      <w:szCs w:val="20"/>
      <w:lang w:eastAsia="en-AU"/>
    </w:rPr>
  </w:style>
  <w:style w:type="character" w:styleId="Mention">
    <w:name w:val="Mention"/>
    <w:basedOn w:val="DefaultParagraphFont"/>
    <w:uiPriority w:val="99"/>
    <w:unhideWhenUsed/>
    <w:rsid w:val="00665382"/>
    <w:rPr>
      <w:color w:val="2B579A"/>
      <w:shd w:val="clear" w:color="auto" w:fill="E6E6E6"/>
    </w:rPr>
  </w:style>
  <w:style w:type="character" w:styleId="UnresolvedMention">
    <w:name w:val="Unresolved Mention"/>
    <w:basedOn w:val="DefaultParagraphFont"/>
    <w:uiPriority w:val="99"/>
    <w:unhideWhenUsed/>
    <w:rsid w:val="008614DB"/>
    <w:rPr>
      <w:color w:val="605E5C"/>
      <w:shd w:val="clear" w:color="auto" w:fill="E1DFDD"/>
    </w:rPr>
  </w:style>
  <w:style w:type="paragraph" w:styleId="Revision">
    <w:name w:val="Revision"/>
    <w:hidden/>
    <w:uiPriority w:val="99"/>
    <w:semiHidden/>
    <w:rsid w:val="00645121"/>
    <w:pPr>
      <w:spacing w:after="0" w:line="240" w:lineRule="auto"/>
    </w:pPr>
  </w:style>
  <w:style w:type="paragraph" w:styleId="NormalWeb">
    <w:name w:val="Normal (Web)"/>
    <w:basedOn w:val="Normal"/>
    <w:uiPriority w:val="99"/>
    <w:semiHidden/>
    <w:unhideWhenUsed/>
    <w:rsid w:val="00526B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F1EE9"/>
    <w:rPr>
      <w:color w:val="954F72" w:themeColor="followedHyperlink"/>
      <w:u w:val="single"/>
    </w:rPr>
  </w:style>
  <w:style w:type="character" w:styleId="Emphasis">
    <w:name w:val="Emphasis"/>
    <w:basedOn w:val="DefaultParagraphFont"/>
    <w:uiPriority w:val="20"/>
    <w:qFormat/>
    <w:rsid w:val="00E62B10"/>
    <w:rPr>
      <w:i/>
      <w:iCs/>
    </w:rPr>
  </w:style>
  <w:style w:type="character" w:customStyle="1" w:styleId="Heading1Char">
    <w:name w:val="Heading 1 Char"/>
    <w:basedOn w:val="DefaultParagraphFont"/>
    <w:link w:val="Heading1"/>
    <w:uiPriority w:val="9"/>
    <w:rsid w:val="00337FB8"/>
    <w:rPr>
      <w:rFonts w:ascii="Calibri" w:eastAsia="Times New Roman" w:hAnsi="Calibri" w:cs="Times New Roman"/>
      <w:b/>
      <w:bCs/>
      <w:kern w:val="36"/>
      <w:sz w:val="32"/>
      <w:szCs w:val="48"/>
      <w:lang w:eastAsia="en-AU"/>
    </w:rPr>
  </w:style>
  <w:style w:type="character" w:customStyle="1" w:styleId="Heading2Char">
    <w:name w:val="Heading 2 Char"/>
    <w:basedOn w:val="DefaultParagraphFont"/>
    <w:link w:val="Heading2"/>
    <w:uiPriority w:val="9"/>
    <w:rsid w:val="00337FB8"/>
    <w:rPr>
      <w:rFonts w:ascii="Calibri" w:hAnsi="Calibri" w:cs="Arial"/>
      <w:b/>
      <w:bCs/>
      <w:color w:val="000000"/>
      <w:sz w:val="28"/>
      <w:szCs w:val="28"/>
    </w:rPr>
  </w:style>
  <w:style w:type="character" w:styleId="Strong">
    <w:name w:val="Strong"/>
    <w:basedOn w:val="DefaultParagraphFont"/>
    <w:uiPriority w:val="22"/>
    <w:qFormat/>
    <w:rsid w:val="000C11AB"/>
    <w:rPr>
      <w:rFonts w:ascii="Arial" w:hAnsi="Arial"/>
      <w:b/>
      <w:bCs/>
      <w:sz w:val="22"/>
    </w:rPr>
  </w:style>
  <w:style w:type="paragraph" w:styleId="ListBullet">
    <w:name w:val="List Bullet"/>
    <w:basedOn w:val="Normal"/>
    <w:uiPriority w:val="99"/>
    <w:unhideWhenUsed/>
    <w:rsid w:val="00337FB8"/>
    <w:pPr>
      <w:numPr>
        <w:numId w:val="2"/>
      </w:numPr>
      <w:contextualSpacing/>
    </w:pPr>
  </w:style>
  <w:style w:type="paragraph" w:styleId="ListNumber">
    <w:name w:val="List Number"/>
    <w:basedOn w:val="Normal"/>
    <w:uiPriority w:val="99"/>
    <w:unhideWhenUsed/>
    <w:rsid w:val="00337FB8"/>
    <w:pPr>
      <w:numPr>
        <w:numId w:val="3"/>
      </w:numPr>
      <w:contextualSpacing/>
    </w:pPr>
  </w:style>
  <w:style w:type="paragraph" w:styleId="ListContinue">
    <w:name w:val="List Continue"/>
    <w:basedOn w:val="Normal"/>
    <w:uiPriority w:val="99"/>
    <w:unhideWhenUsed/>
    <w:rsid w:val="00337FB8"/>
    <w:pPr>
      <w:numPr>
        <w:numId w:val="4"/>
      </w:numPr>
      <w:spacing w:after="120"/>
      <w:contextualSpacing/>
    </w:pPr>
  </w:style>
  <w:style w:type="paragraph" w:styleId="ListBullet2">
    <w:name w:val="List Bullet 2"/>
    <w:basedOn w:val="ListBullet"/>
    <w:uiPriority w:val="99"/>
    <w:unhideWhenUsed/>
    <w:rsid w:val="00337FB8"/>
    <w:pPr>
      <w:numPr>
        <w:numId w:val="9"/>
      </w:numPr>
      <w:ind w:left="1208" w:hanging="357"/>
    </w:pPr>
  </w:style>
  <w:style w:type="paragraph" w:styleId="ListBullet3">
    <w:name w:val="List Bullet 3"/>
    <w:basedOn w:val="ListBullet2"/>
    <w:uiPriority w:val="99"/>
    <w:unhideWhenUsed/>
    <w:rsid w:val="00337FB8"/>
    <w:pPr>
      <w:numPr>
        <w:numId w:val="10"/>
      </w:numPr>
      <w:ind w:left="1491" w:hanging="357"/>
    </w:pPr>
  </w:style>
  <w:style w:type="paragraph" w:styleId="ListContinue2">
    <w:name w:val="List Continue 2"/>
    <w:basedOn w:val="Normal"/>
    <w:uiPriority w:val="99"/>
    <w:unhideWhenUsed/>
    <w:rsid w:val="00337FB8"/>
    <w:pPr>
      <w:numPr>
        <w:numId w:val="14"/>
      </w:numPr>
      <w:spacing w:after="120"/>
      <w:ind w:left="1208"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345">
      <w:bodyDiv w:val="1"/>
      <w:marLeft w:val="0"/>
      <w:marRight w:val="0"/>
      <w:marTop w:val="0"/>
      <w:marBottom w:val="0"/>
      <w:divBdr>
        <w:top w:val="none" w:sz="0" w:space="0" w:color="auto"/>
        <w:left w:val="none" w:sz="0" w:space="0" w:color="auto"/>
        <w:bottom w:val="none" w:sz="0" w:space="0" w:color="auto"/>
        <w:right w:val="none" w:sz="0" w:space="0" w:color="auto"/>
      </w:divBdr>
    </w:div>
    <w:div w:id="84963729">
      <w:bodyDiv w:val="1"/>
      <w:marLeft w:val="0"/>
      <w:marRight w:val="0"/>
      <w:marTop w:val="0"/>
      <w:marBottom w:val="0"/>
      <w:divBdr>
        <w:top w:val="none" w:sz="0" w:space="0" w:color="auto"/>
        <w:left w:val="none" w:sz="0" w:space="0" w:color="auto"/>
        <w:bottom w:val="none" w:sz="0" w:space="0" w:color="auto"/>
        <w:right w:val="none" w:sz="0" w:space="0" w:color="auto"/>
      </w:divBdr>
    </w:div>
    <w:div w:id="89357775">
      <w:bodyDiv w:val="1"/>
      <w:marLeft w:val="0"/>
      <w:marRight w:val="0"/>
      <w:marTop w:val="0"/>
      <w:marBottom w:val="0"/>
      <w:divBdr>
        <w:top w:val="none" w:sz="0" w:space="0" w:color="auto"/>
        <w:left w:val="none" w:sz="0" w:space="0" w:color="auto"/>
        <w:bottom w:val="none" w:sz="0" w:space="0" w:color="auto"/>
        <w:right w:val="none" w:sz="0" w:space="0" w:color="auto"/>
      </w:divBdr>
    </w:div>
    <w:div w:id="130483756">
      <w:bodyDiv w:val="1"/>
      <w:marLeft w:val="0"/>
      <w:marRight w:val="0"/>
      <w:marTop w:val="0"/>
      <w:marBottom w:val="0"/>
      <w:divBdr>
        <w:top w:val="none" w:sz="0" w:space="0" w:color="auto"/>
        <w:left w:val="none" w:sz="0" w:space="0" w:color="auto"/>
        <w:bottom w:val="none" w:sz="0" w:space="0" w:color="auto"/>
        <w:right w:val="none" w:sz="0" w:space="0" w:color="auto"/>
      </w:divBdr>
    </w:div>
    <w:div w:id="167254091">
      <w:bodyDiv w:val="1"/>
      <w:marLeft w:val="0"/>
      <w:marRight w:val="0"/>
      <w:marTop w:val="0"/>
      <w:marBottom w:val="0"/>
      <w:divBdr>
        <w:top w:val="none" w:sz="0" w:space="0" w:color="auto"/>
        <w:left w:val="none" w:sz="0" w:space="0" w:color="auto"/>
        <w:bottom w:val="none" w:sz="0" w:space="0" w:color="auto"/>
        <w:right w:val="none" w:sz="0" w:space="0" w:color="auto"/>
      </w:divBdr>
    </w:div>
    <w:div w:id="167715986">
      <w:bodyDiv w:val="1"/>
      <w:marLeft w:val="0"/>
      <w:marRight w:val="0"/>
      <w:marTop w:val="0"/>
      <w:marBottom w:val="0"/>
      <w:divBdr>
        <w:top w:val="none" w:sz="0" w:space="0" w:color="auto"/>
        <w:left w:val="none" w:sz="0" w:space="0" w:color="auto"/>
        <w:bottom w:val="none" w:sz="0" w:space="0" w:color="auto"/>
        <w:right w:val="none" w:sz="0" w:space="0" w:color="auto"/>
      </w:divBdr>
    </w:div>
    <w:div w:id="194848019">
      <w:bodyDiv w:val="1"/>
      <w:marLeft w:val="0"/>
      <w:marRight w:val="0"/>
      <w:marTop w:val="0"/>
      <w:marBottom w:val="0"/>
      <w:divBdr>
        <w:top w:val="none" w:sz="0" w:space="0" w:color="auto"/>
        <w:left w:val="none" w:sz="0" w:space="0" w:color="auto"/>
        <w:bottom w:val="none" w:sz="0" w:space="0" w:color="auto"/>
        <w:right w:val="none" w:sz="0" w:space="0" w:color="auto"/>
      </w:divBdr>
    </w:div>
    <w:div w:id="198204868">
      <w:bodyDiv w:val="1"/>
      <w:marLeft w:val="0"/>
      <w:marRight w:val="0"/>
      <w:marTop w:val="0"/>
      <w:marBottom w:val="0"/>
      <w:divBdr>
        <w:top w:val="none" w:sz="0" w:space="0" w:color="auto"/>
        <w:left w:val="none" w:sz="0" w:space="0" w:color="auto"/>
        <w:bottom w:val="none" w:sz="0" w:space="0" w:color="auto"/>
        <w:right w:val="none" w:sz="0" w:space="0" w:color="auto"/>
      </w:divBdr>
    </w:div>
    <w:div w:id="292102765">
      <w:bodyDiv w:val="1"/>
      <w:marLeft w:val="0"/>
      <w:marRight w:val="0"/>
      <w:marTop w:val="0"/>
      <w:marBottom w:val="0"/>
      <w:divBdr>
        <w:top w:val="none" w:sz="0" w:space="0" w:color="auto"/>
        <w:left w:val="none" w:sz="0" w:space="0" w:color="auto"/>
        <w:bottom w:val="none" w:sz="0" w:space="0" w:color="auto"/>
        <w:right w:val="none" w:sz="0" w:space="0" w:color="auto"/>
      </w:divBdr>
    </w:div>
    <w:div w:id="341248055">
      <w:bodyDiv w:val="1"/>
      <w:marLeft w:val="0"/>
      <w:marRight w:val="0"/>
      <w:marTop w:val="0"/>
      <w:marBottom w:val="0"/>
      <w:divBdr>
        <w:top w:val="none" w:sz="0" w:space="0" w:color="auto"/>
        <w:left w:val="none" w:sz="0" w:space="0" w:color="auto"/>
        <w:bottom w:val="none" w:sz="0" w:space="0" w:color="auto"/>
        <w:right w:val="none" w:sz="0" w:space="0" w:color="auto"/>
      </w:divBdr>
    </w:div>
    <w:div w:id="435373988">
      <w:bodyDiv w:val="1"/>
      <w:marLeft w:val="0"/>
      <w:marRight w:val="0"/>
      <w:marTop w:val="0"/>
      <w:marBottom w:val="0"/>
      <w:divBdr>
        <w:top w:val="none" w:sz="0" w:space="0" w:color="auto"/>
        <w:left w:val="none" w:sz="0" w:space="0" w:color="auto"/>
        <w:bottom w:val="none" w:sz="0" w:space="0" w:color="auto"/>
        <w:right w:val="none" w:sz="0" w:space="0" w:color="auto"/>
      </w:divBdr>
    </w:div>
    <w:div w:id="509679893">
      <w:bodyDiv w:val="1"/>
      <w:marLeft w:val="0"/>
      <w:marRight w:val="0"/>
      <w:marTop w:val="0"/>
      <w:marBottom w:val="0"/>
      <w:divBdr>
        <w:top w:val="none" w:sz="0" w:space="0" w:color="auto"/>
        <w:left w:val="none" w:sz="0" w:space="0" w:color="auto"/>
        <w:bottom w:val="none" w:sz="0" w:space="0" w:color="auto"/>
        <w:right w:val="none" w:sz="0" w:space="0" w:color="auto"/>
      </w:divBdr>
    </w:div>
    <w:div w:id="535627775">
      <w:bodyDiv w:val="1"/>
      <w:marLeft w:val="0"/>
      <w:marRight w:val="0"/>
      <w:marTop w:val="0"/>
      <w:marBottom w:val="0"/>
      <w:divBdr>
        <w:top w:val="none" w:sz="0" w:space="0" w:color="auto"/>
        <w:left w:val="none" w:sz="0" w:space="0" w:color="auto"/>
        <w:bottom w:val="none" w:sz="0" w:space="0" w:color="auto"/>
        <w:right w:val="none" w:sz="0" w:space="0" w:color="auto"/>
      </w:divBdr>
    </w:div>
    <w:div w:id="561214188">
      <w:bodyDiv w:val="1"/>
      <w:marLeft w:val="0"/>
      <w:marRight w:val="0"/>
      <w:marTop w:val="0"/>
      <w:marBottom w:val="0"/>
      <w:divBdr>
        <w:top w:val="none" w:sz="0" w:space="0" w:color="auto"/>
        <w:left w:val="none" w:sz="0" w:space="0" w:color="auto"/>
        <w:bottom w:val="none" w:sz="0" w:space="0" w:color="auto"/>
        <w:right w:val="none" w:sz="0" w:space="0" w:color="auto"/>
      </w:divBdr>
    </w:div>
    <w:div w:id="565847823">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688725429">
      <w:bodyDiv w:val="1"/>
      <w:marLeft w:val="0"/>
      <w:marRight w:val="0"/>
      <w:marTop w:val="0"/>
      <w:marBottom w:val="0"/>
      <w:divBdr>
        <w:top w:val="none" w:sz="0" w:space="0" w:color="auto"/>
        <w:left w:val="none" w:sz="0" w:space="0" w:color="auto"/>
        <w:bottom w:val="none" w:sz="0" w:space="0" w:color="auto"/>
        <w:right w:val="none" w:sz="0" w:space="0" w:color="auto"/>
      </w:divBdr>
    </w:div>
    <w:div w:id="700324669">
      <w:bodyDiv w:val="1"/>
      <w:marLeft w:val="0"/>
      <w:marRight w:val="0"/>
      <w:marTop w:val="0"/>
      <w:marBottom w:val="0"/>
      <w:divBdr>
        <w:top w:val="none" w:sz="0" w:space="0" w:color="auto"/>
        <w:left w:val="none" w:sz="0" w:space="0" w:color="auto"/>
        <w:bottom w:val="none" w:sz="0" w:space="0" w:color="auto"/>
        <w:right w:val="none" w:sz="0" w:space="0" w:color="auto"/>
      </w:divBdr>
    </w:div>
    <w:div w:id="717975141">
      <w:bodyDiv w:val="1"/>
      <w:marLeft w:val="0"/>
      <w:marRight w:val="0"/>
      <w:marTop w:val="0"/>
      <w:marBottom w:val="0"/>
      <w:divBdr>
        <w:top w:val="none" w:sz="0" w:space="0" w:color="auto"/>
        <w:left w:val="none" w:sz="0" w:space="0" w:color="auto"/>
        <w:bottom w:val="none" w:sz="0" w:space="0" w:color="auto"/>
        <w:right w:val="none" w:sz="0" w:space="0" w:color="auto"/>
      </w:divBdr>
    </w:div>
    <w:div w:id="727918744">
      <w:bodyDiv w:val="1"/>
      <w:marLeft w:val="0"/>
      <w:marRight w:val="0"/>
      <w:marTop w:val="0"/>
      <w:marBottom w:val="0"/>
      <w:divBdr>
        <w:top w:val="none" w:sz="0" w:space="0" w:color="auto"/>
        <w:left w:val="none" w:sz="0" w:space="0" w:color="auto"/>
        <w:bottom w:val="none" w:sz="0" w:space="0" w:color="auto"/>
        <w:right w:val="none" w:sz="0" w:space="0" w:color="auto"/>
      </w:divBdr>
    </w:div>
    <w:div w:id="789399744">
      <w:bodyDiv w:val="1"/>
      <w:marLeft w:val="0"/>
      <w:marRight w:val="0"/>
      <w:marTop w:val="0"/>
      <w:marBottom w:val="0"/>
      <w:divBdr>
        <w:top w:val="none" w:sz="0" w:space="0" w:color="auto"/>
        <w:left w:val="none" w:sz="0" w:space="0" w:color="auto"/>
        <w:bottom w:val="none" w:sz="0" w:space="0" w:color="auto"/>
        <w:right w:val="none" w:sz="0" w:space="0" w:color="auto"/>
      </w:divBdr>
    </w:div>
    <w:div w:id="804931358">
      <w:bodyDiv w:val="1"/>
      <w:marLeft w:val="0"/>
      <w:marRight w:val="0"/>
      <w:marTop w:val="0"/>
      <w:marBottom w:val="0"/>
      <w:divBdr>
        <w:top w:val="none" w:sz="0" w:space="0" w:color="auto"/>
        <w:left w:val="none" w:sz="0" w:space="0" w:color="auto"/>
        <w:bottom w:val="none" w:sz="0" w:space="0" w:color="auto"/>
        <w:right w:val="none" w:sz="0" w:space="0" w:color="auto"/>
      </w:divBdr>
    </w:div>
    <w:div w:id="948858622">
      <w:bodyDiv w:val="1"/>
      <w:marLeft w:val="0"/>
      <w:marRight w:val="0"/>
      <w:marTop w:val="0"/>
      <w:marBottom w:val="0"/>
      <w:divBdr>
        <w:top w:val="none" w:sz="0" w:space="0" w:color="auto"/>
        <w:left w:val="none" w:sz="0" w:space="0" w:color="auto"/>
        <w:bottom w:val="none" w:sz="0" w:space="0" w:color="auto"/>
        <w:right w:val="none" w:sz="0" w:space="0" w:color="auto"/>
      </w:divBdr>
    </w:div>
    <w:div w:id="1001084028">
      <w:bodyDiv w:val="1"/>
      <w:marLeft w:val="0"/>
      <w:marRight w:val="0"/>
      <w:marTop w:val="0"/>
      <w:marBottom w:val="0"/>
      <w:divBdr>
        <w:top w:val="none" w:sz="0" w:space="0" w:color="auto"/>
        <w:left w:val="none" w:sz="0" w:space="0" w:color="auto"/>
        <w:bottom w:val="none" w:sz="0" w:space="0" w:color="auto"/>
        <w:right w:val="none" w:sz="0" w:space="0" w:color="auto"/>
      </w:divBdr>
    </w:div>
    <w:div w:id="1040861943">
      <w:bodyDiv w:val="1"/>
      <w:marLeft w:val="0"/>
      <w:marRight w:val="0"/>
      <w:marTop w:val="0"/>
      <w:marBottom w:val="0"/>
      <w:divBdr>
        <w:top w:val="none" w:sz="0" w:space="0" w:color="auto"/>
        <w:left w:val="none" w:sz="0" w:space="0" w:color="auto"/>
        <w:bottom w:val="none" w:sz="0" w:space="0" w:color="auto"/>
        <w:right w:val="none" w:sz="0" w:space="0" w:color="auto"/>
      </w:divBdr>
    </w:div>
    <w:div w:id="1048458190">
      <w:bodyDiv w:val="1"/>
      <w:marLeft w:val="0"/>
      <w:marRight w:val="0"/>
      <w:marTop w:val="0"/>
      <w:marBottom w:val="0"/>
      <w:divBdr>
        <w:top w:val="none" w:sz="0" w:space="0" w:color="auto"/>
        <w:left w:val="none" w:sz="0" w:space="0" w:color="auto"/>
        <w:bottom w:val="none" w:sz="0" w:space="0" w:color="auto"/>
        <w:right w:val="none" w:sz="0" w:space="0" w:color="auto"/>
      </w:divBdr>
    </w:div>
    <w:div w:id="1059599368">
      <w:bodyDiv w:val="1"/>
      <w:marLeft w:val="0"/>
      <w:marRight w:val="0"/>
      <w:marTop w:val="0"/>
      <w:marBottom w:val="0"/>
      <w:divBdr>
        <w:top w:val="none" w:sz="0" w:space="0" w:color="auto"/>
        <w:left w:val="none" w:sz="0" w:space="0" w:color="auto"/>
        <w:bottom w:val="none" w:sz="0" w:space="0" w:color="auto"/>
        <w:right w:val="none" w:sz="0" w:space="0" w:color="auto"/>
      </w:divBdr>
    </w:div>
    <w:div w:id="1104306666">
      <w:bodyDiv w:val="1"/>
      <w:marLeft w:val="0"/>
      <w:marRight w:val="0"/>
      <w:marTop w:val="0"/>
      <w:marBottom w:val="0"/>
      <w:divBdr>
        <w:top w:val="none" w:sz="0" w:space="0" w:color="auto"/>
        <w:left w:val="none" w:sz="0" w:space="0" w:color="auto"/>
        <w:bottom w:val="none" w:sz="0" w:space="0" w:color="auto"/>
        <w:right w:val="none" w:sz="0" w:space="0" w:color="auto"/>
      </w:divBdr>
    </w:div>
    <w:div w:id="1214580017">
      <w:bodyDiv w:val="1"/>
      <w:marLeft w:val="0"/>
      <w:marRight w:val="0"/>
      <w:marTop w:val="0"/>
      <w:marBottom w:val="0"/>
      <w:divBdr>
        <w:top w:val="none" w:sz="0" w:space="0" w:color="auto"/>
        <w:left w:val="none" w:sz="0" w:space="0" w:color="auto"/>
        <w:bottom w:val="none" w:sz="0" w:space="0" w:color="auto"/>
        <w:right w:val="none" w:sz="0" w:space="0" w:color="auto"/>
      </w:divBdr>
    </w:div>
    <w:div w:id="1260680754">
      <w:bodyDiv w:val="1"/>
      <w:marLeft w:val="0"/>
      <w:marRight w:val="0"/>
      <w:marTop w:val="0"/>
      <w:marBottom w:val="0"/>
      <w:divBdr>
        <w:top w:val="none" w:sz="0" w:space="0" w:color="auto"/>
        <w:left w:val="none" w:sz="0" w:space="0" w:color="auto"/>
        <w:bottom w:val="none" w:sz="0" w:space="0" w:color="auto"/>
        <w:right w:val="none" w:sz="0" w:space="0" w:color="auto"/>
      </w:divBdr>
    </w:div>
    <w:div w:id="1285770065">
      <w:bodyDiv w:val="1"/>
      <w:marLeft w:val="0"/>
      <w:marRight w:val="0"/>
      <w:marTop w:val="0"/>
      <w:marBottom w:val="0"/>
      <w:divBdr>
        <w:top w:val="none" w:sz="0" w:space="0" w:color="auto"/>
        <w:left w:val="none" w:sz="0" w:space="0" w:color="auto"/>
        <w:bottom w:val="none" w:sz="0" w:space="0" w:color="auto"/>
        <w:right w:val="none" w:sz="0" w:space="0" w:color="auto"/>
      </w:divBdr>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
    <w:div w:id="1335500317">
      <w:bodyDiv w:val="1"/>
      <w:marLeft w:val="0"/>
      <w:marRight w:val="0"/>
      <w:marTop w:val="0"/>
      <w:marBottom w:val="0"/>
      <w:divBdr>
        <w:top w:val="none" w:sz="0" w:space="0" w:color="auto"/>
        <w:left w:val="none" w:sz="0" w:space="0" w:color="auto"/>
        <w:bottom w:val="none" w:sz="0" w:space="0" w:color="auto"/>
        <w:right w:val="none" w:sz="0" w:space="0" w:color="auto"/>
      </w:divBdr>
    </w:div>
    <w:div w:id="1336028461">
      <w:bodyDiv w:val="1"/>
      <w:marLeft w:val="0"/>
      <w:marRight w:val="0"/>
      <w:marTop w:val="0"/>
      <w:marBottom w:val="0"/>
      <w:divBdr>
        <w:top w:val="none" w:sz="0" w:space="0" w:color="auto"/>
        <w:left w:val="none" w:sz="0" w:space="0" w:color="auto"/>
        <w:bottom w:val="none" w:sz="0" w:space="0" w:color="auto"/>
        <w:right w:val="none" w:sz="0" w:space="0" w:color="auto"/>
      </w:divBdr>
    </w:div>
    <w:div w:id="1506893056">
      <w:bodyDiv w:val="1"/>
      <w:marLeft w:val="0"/>
      <w:marRight w:val="0"/>
      <w:marTop w:val="0"/>
      <w:marBottom w:val="0"/>
      <w:divBdr>
        <w:top w:val="none" w:sz="0" w:space="0" w:color="auto"/>
        <w:left w:val="none" w:sz="0" w:space="0" w:color="auto"/>
        <w:bottom w:val="none" w:sz="0" w:space="0" w:color="auto"/>
        <w:right w:val="none" w:sz="0" w:space="0" w:color="auto"/>
      </w:divBdr>
    </w:div>
    <w:div w:id="1537352329">
      <w:bodyDiv w:val="1"/>
      <w:marLeft w:val="0"/>
      <w:marRight w:val="0"/>
      <w:marTop w:val="0"/>
      <w:marBottom w:val="0"/>
      <w:divBdr>
        <w:top w:val="none" w:sz="0" w:space="0" w:color="auto"/>
        <w:left w:val="none" w:sz="0" w:space="0" w:color="auto"/>
        <w:bottom w:val="none" w:sz="0" w:space="0" w:color="auto"/>
        <w:right w:val="none" w:sz="0" w:space="0" w:color="auto"/>
      </w:divBdr>
    </w:div>
    <w:div w:id="1550142844">
      <w:bodyDiv w:val="1"/>
      <w:marLeft w:val="0"/>
      <w:marRight w:val="0"/>
      <w:marTop w:val="0"/>
      <w:marBottom w:val="0"/>
      <w:divBdr>
        <w:top w:val="none" w:sz="0" w:space="0" w:color="auto"/>
        <w:left w:val="none" w:sz="0" w:space="0" w:color="auto"/>
        <w:bottom w:val="none" w:sz="0" w:space="0" w:color="auto"/>
        <w:right w:val="none" w:sz="0" w:space="0" w:color="auto"/>
      </w:divBdr>
    </w:div>
    <w:div w:id="1561474854">
      <w:bodyDiv w:val="1"/>
      <w:marLeft w:val="0"/>
      <w:marRight w:val="0"/>
      <w:marTop w:val="0"/>
      <w:marBottom w:val="0"/>
      <w:divBdr>
        <w:top w:val="none" w:sz="0" w:space="0" w:color="auto"/>
        <w:left w:val="none" w:sz="0" w:space="0" w:color="auto"/>
        <w:bottom w:val="none" w:sz="0" w:space="0" w:color="auto"/>
        <w:right w:val="none" w:sz="0" w:space="0" w:color="auto"/>
      </w:divBdr>
    </w:div>
    <w:div w:id="1565795957">
      <w:bodyDiv w:val="1"/>
      <w:marLeft w:val="0"/>
      <w:marRight w:val="0"/>
      <w:marTop w:val="0"/>
      <w:marBottom w:val="0"/>
      <w:divBdr>
        <w:top w:val="none" w:sz="0" w:space="0" w:color="auto"/>
        <w:left w:val="none" w:sz="0" w:space="0" w:color="auto"/>
        <w:bottom w:val="none" w:sz="0" w:space="0" w:color="auto"/>
        <w:right w:val="none" w:sz="0" w:space="0" w:color="auto"/>
      </w:divBdr>
    </w:div>
    <w:div w:id="1588882839">
      <w:bodyDiv w:val="1"/>
      <w:marLeft w:val="0"/>
      <w:marRight w:val="0"/>
      <w:marTop w:val="0"/>
      <w:marBottom w:val="0"/>
      <w:divBdr>
        <w:top w:val="none" w:sz="0" w:space="0" w:color="auto"/>
        <w:left w:val="none" w:sz="0" w:space="0" w:color="auto"/>
        <w:bottom w:val="none" w:sz="0" w:space="0" w:color="auto"/>
        <w:right w:val="none" w:sz="0" w:space="0" w:color="auto"/>
      </w:divBdr>
    </w:div>
    <w:div w:id="1616055346">
      <w:bodyDiv w:val="1"/>
      <w:marLeft w:val="0"/>
      <w:marRight w:val="0"/>
      <w:marTop w:val="0"/>
      <w:marBottom w:val="0"/>
      <w:divBdr>
        <w:top w:val="none" w:sz="0" w:space="0" w:color="auto"/>
        <w:left w:val="none" w:sz="0" w:space="0" w:color="auto"/>
        <w:bottom w:val="none" w:sz="0" w:space="0" w:color="auto"/>
        <w:right w:val="none" w:sz="0" w:space="0" w:color="auto"/>
      </w:divBdr>
    </w:div>
    <w:div w:id="1643000875">
      <w:bodyDiv w:val="1"/>
      <w:marLeft w:val="0"/>
      <w:marRight w:val="0"/>
      <w:marTop w:val="0"/>
      <w:marBottom w:val="0"/>
      <w:divBdr>
        <w:top w:val="none" w:sz="0" w:space="0" w:color="auto"/>
        <w:left w:val="none" w:sz="0" w:space="0" w:color="auto"/>
        <w:bottom w:val="none" w:sz="0" w:space="0" w:color="auto"/>
        <w:right w:val="none" w:sz="0" w:space="0" w:color="auto"/>
      </w:divBdr>
    </w:div>
    <w:div w:id="1647274893">
      <w:bodyDiv w:val="1"/>
      <w:marLeft w:val="0"/>
      <w:marRight w:val="0"/>
      <w:marTop w:val="0"/>
      <w:marBottom w:val="0"/>
      <w:divBdr>
        <w:top w:val="none" w:sz="0" w:space="0" w:color="auto"/>
        <w:left w:val="none" w:sz="0" w:space="0" w:color="auto"/>
        <w:bottom w:val="none" w:sz="0" w:space="0" w:color="auto"/>
        <w:right w:val="none" w:sz="0" w:space="0" w:color="auto"/>
      </w:divBdr>
    </w:div>
    <w:div w:id="1716612117">
      <w:bodyDiv w:val="1"/>
      <w:marLeft w:val="0"/>
      <w:marRight w:val="0"/>
      <w:marTop w:val="0"/>
      <w:marBottom w:val="0"/>
      <w:divBdr>
        <w:top w:val="none" w:sz="0" w:space="0" w:color="auto"/>
        <w:left w:val="none" w:sz="0" w:space="0" w:color="auto"/>
        <w:bottom w:val="none" w:sz="0" w:space="0" w:color="auto"/>
        <w:right w:val="none" w:sz="0" w:space="0" w:color="auto"/>
      </w:divBdr>
    </w:div>
    <w:div w:id="1766346456">
      <w:bodyDiv w:val="1"/>
      <w:marLeft w:val="0"/>
      <w:marRight w:val="0"/>
      <w:marTop w:val="0"/>
      <w:marBottom w:val="0"/>
      <w:divBdr>
        <w:top w:val="none" w:sz="0" w:space="0" w:color="auto"/>
        <w:left w:val="none" w:sz="0" w:space="0" w:color="auto"/>
        <w:bottom w:val="none" w:sz="0" w:space="0" w:color="auto"/>
        <w:right w:val="none" w:sz="0" w:space="0" w:color="auto"/>
      </w:divBdr>
    </w:div>
    <w:div w:id="1781101180">
      <w:bodyDiv w:val="1"/>
      <w:marLeft w:val="0"/>
      <w:marRight w:val="0"/>
      <w:marTop w:val="0"/>
      <w:marBottom w:val="0"/>
      <w:divBdr>
        <w:top w:val="none" w:sz="0" w:space="0" w:color="auto"/>
        <w:left w:val="none" w:sz="0" w:space="0" w:color="auto"/>
        <w:bottom w:val="none" w:sz="0" w:space="0" w:color="auto"/>
        <w:right w:val="none" w:sz="0" w:space="0" w:color="auto"/>
      </w:divBdr>
    </w:div>
    <w:div w:id="1801603713">
      <w:bodyDiv w:val="1"/>
      <w:marLeft w:val="0"/>
      <w:marRight w:val="0"/>
      <w:marTop w:val="0"/>
      <w:marBottom w:val="0"/>
      <w:divBdr>
        <w:top w:val="none" w:sz="0" w:space="0" w:color="auto"/>
        <w:left w:val="none" w:sz="0" w:space="0" w:color="auto"/>
        <w:bottom w:val="none" w:sz="0" w:space="0" w:color="auto"/>
        <w:right w:val="none" w:sz="0" w:space="0" w:color="auto"/>
      </w:divBdr>
    </w:div>
    <w:div w:id="1909489396">
      <w:bodyDiv w:val="1"/>
      <w:marLeft w:val="0"/>
      <w:marRight w:val="0"/>
      <w:marTop w:val="0"/>
      <w:marBottom w:val="0"/>
      <w:divBdr>
        <w:top w:val="none" w:sz="0" w:space="0" w:color="auto"/>
        <w:left w:val="none" w:sz="0" w:space="0" w:color="auto"/>
        <w:bottom w:val="none" w:sz="0" w:space="0" w:color="auto"/>
        <w:right w:val="none" w:sz="0" w:space="0" w:color="auto"/>
      </w:divBdr>
    </w:div>
    <w:div w:id="1921329087">
      <w:bodyDiv w:val="1"/>
      <w:marLeft w:val="0"/>
      <w:marRight w:val="0"/>
      <w:marTop w:val="0"/>
      <w:marBottom w:val="0"/>
      <w:divBdr>
        <w:top w:val="none" w:sz="0" w:space="0" w:color="auto"/>
        <w:left w:val="none" w:sz="0" w:space="0" w:color="auto"/>
        <w:bottom w:val="none" w:sz="0" w:space="0" w:color="auto"/>
        <w:right w:val="none" w:sz="0" w:space="0" w:color="auto"/>
      </w:divBdr>
    </w:div>
    <w:div w:id="1981303280">
      <w:bodyDiv w:val="1"/>
      <w:marLeft w:val="0"/>
      <w:marRight w:val="0"/>
      <w:marTop w:val="0"/>
      <w:marBottom w:val="0"/>
      <w:divBdr>
        <w:top w:val="none" w:sz="0" w:space="0" w:color="auto"/>
        <w:left w:val="none" w:sz="0" w:space="0" w:color="auto"/>
        <w:bottom w:val="none" w:sz="0" w:space="0" w:color="auto"/>
        <w:right w:val="none" w:sz="0" w:space="0" w:color="auto"/>
      </w:divBdr>
    </w:div>
    <w:div w:id="2006783122">
      <w:bodyDiv w:val="1"/>
      <w:marLeft w:val="0"/>
      <w:marRight w:val="0"/>
      <w:marTop w:val="0"/>
      <w:marBottom w:val="0"/>
      <w:divBdr>
        <w:top w:val="none" w:sz="0" w:space="0" w:color="auto"/>
        <w:left w:val="none" w:sz="0" w:space="0" w:color="auto"/>
        <w:bottom w:val="none" w:sz="0" w:space="0" w:color="auto"/>
        <w:right w:val="none" w:sz="0" w:space="0" w:color="auto"/>
      </w:divBdr>
    </w:div>
    <w:div w:id="2028407896">
      <w:bodyDiv w:val="1"/>
      <w:marLeft w:val="0"/>
      <w:marRight w:val="0"/>
      <w:marTop w:val="0"/>
      <w:marBottom w:val="0"/>
      <w:divBdr>
        <w:top w:val="none" w:sz="0" w:space="0" w:color="auto"/>
        <w:left w:val="none" w:sz="0" w:space="0" w:color="auto"/>
        <w:bottom w:val="none" w:sz="0" w:space="0" w:color="auto"/>
        <w:right w:val="none" w:sz="0" w:space="0" w:color="auto"/>
      </w:divBdr>
    </w:div>
    <w:div w:id="2029024410">
      <w:bodyDiv w:val="1"/>
      <w:marLeft w:val="0"/>
      <w:marRight w:val="0"/>
      <w:marTop w:val="0"/>
      <w:marBottom w:val="0"/>
      <w:divBdr>
        <w:top w:val="none" w:sz="0" w:space="0" w:color="auto"/>
        <w:left w:val="none" w:sz="0" w:space="0" w:color="auto"/>
        <w:bottom w:val="none" w:sz="0" w:space="0" w:color="auto"/>
        <w:right w:val="none" w:sz="0" w:space="0" w:color="auto"/>
      </w:divBdr>
    </w:div>
    <w:div w:id="2079670270">
      <w:bodyDiv w:val="1"/>
      <w:marLeft w:val="0"/>
      <w:marRight w:val="0"/>
      <w:marTop w:val="0"/>
      <w:marBottom w:val="0"/>
      <w:divBdr>
        <w:top w:val="none" w:sz="0" w:space="0" w:color="auto"/>
        <w:left w:val="none" w:sz="0" w:space="0" w:color="auto"/>
        <w:bottom w:val="none" w:sz="0" w:space="0" w:color="auto"/>
        <w:right w:val="none" w:sz="0" w:space="0" w:color="auto"/>
      </w:divBdr>
    </w:div>
    <w:div w:id="21290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18A001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2020-25-national-health-reform-agreement-nhr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re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topics/aged-care/aged-care-reforms-and-reviews/royal-commission-into-aged-care-quality-and-safety/review-of-the-aged-care-quality-standards" TargetMode="External"/><Relationship Id="rId7" Type="http://schemas.openxmlformats.org/officeDocument/2006/relationships/hyperlink" Target="https://www.health.gov.au/our-work/infection-prevention-and-control-leads" TargetMode="External"/><Relationship Id="rId2" Type="http://schemas.openxmlformats.org/officeDocument/2006/relationships/hyperlink" Target="https://www.legislation.gov.au/Details/F2023C00345" TargetMode="External"/><Relationship Id="rId1" Type="http://schemas.openxmlformats.org/officeDocument/2006/relationships/hyperlink" Target="file:///C:\Users\Maselv\AppData\Local\Microsoft\Windows\INetCache\Content.Outlook\8B4LN0KB\www.health.gov.au\our-work\2020-25-national-health-reform-agreement-nhra" TargetMode="External"/><Relationship Id="rId6" Type="http://schemas.openxmlformats.org/officeDocument/2006/relationships/hyperlink" Target="https://www.safetyandquality.gov.au/standards/nsqhs-standards/recognising-and-responding-acute-deterioration-standard" TargetMode="External"/><Relationship Id="rId5" Type="http://schemas.openxmlformats.org/officeDocument/2006/relationships/hyperlink" Target="https://www.agedcarequality.gov.au/providers/better-use-medication" TargetMode="External"/><Relationship Id="rId4" Type="http://schemas.openxmlformats.org/officeDocument/2006/relationships/hyperlink" Target="https://www.safetyandquality.gov.au/standards/nsqhs-standards/communicating-safet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666A417FA43478497961C3D914F46" ma:contentTypeVersion="14" ma:contentTypeDescription="Create a new document." ma:contentTypeScope="" ma:versionID="3f2a330772e843e1c3400dd414ee0520">
  <xsd:schema xmlns:xsd="http://www.w3.org/2001/XMLSchema" xmlns:xs="http://www.w3.org/2001/XMLSchema" xmlns:p="http://schemas.microsoft.com/office/2006/metadata/properties" xmlns:ns3="acd534c7-6d34-411c-9784-3d5f55e6dd28" xmlns:ns4="7218429c-2b6c-4693-b878-df34ffe9947b" targetNamespace="http://schemas.microsoft.com/office/2006/metadata/properties" ma:root="true" ma:fieldsID="cc9f1c0163afdf96ad2c97f41cb59d34" ns3:_="" ns4:_="">
    <xsd:import namespace="acd534c7-6d34-411c-9784-3d5f55e6dd28"/>
    <xsd:import namespace="7218429c-2b6c-4693-b878-df34ffe994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34c7-6d34-411c-9784-3d5f55e6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429c-2b6c-4693-b878-df34ffe994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cd534c7-6d34-411c-9784-3d5f55e6dd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DF5AE-DD4E-4721-9702-F2E68491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34c7-6d34-411c-9784-3d5f55e6dd28"/>
    <ds:schemaRef ds:uri="7218429c-2b6c-4693-b878-df34ffe99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9991D-94B8-4C34-AA56-69211E54EB50}">
  <ds:schemaRefs>
    <ds:schemaRef ds:uri="http://schemas.openxmlformats.org/officeDocument/2006/bibliography"/>
  </ds:schemaRefs>
</ds:datastoreItem>
</file>

<file path=customXml/itemProps3.xml><?xml version="1.0" encoding="utf-8"?>
<ds:datastoreItem xmlns:ds="http://schemas.openxmlformats.org/officeDocument/2006/customXml" ds:itemID="{06BE37A9-00B2-42D5-83E3-445EE9578DE2}">
  <ds:schemaRefs>
    <ds:schemaRef ds:uri="http://schemas.microsoft.com/office/2006/metadata/properties"/>
    <ds:schemaRef ds:uri="http://schemas.microsoft.com/office/infopath/2007/PartnerControls"/>
    <ds:schemaRef ds:uri="acd534c7-6d34-411c-9784-3d5f55e6dd28"/>
  </ds:schemaRefs>
</ds:datastoreItem>
</file>

<file path=customXml/itemProps4.xml><?xml version="1.0" encoding="utf-8"?>
<ds:datastoreItem xmlns:ds="http://schemas.openxmlformats.org/officeDocument/2006/customXml" ds:itemID="{14B31209-FA4B-4672-BEB7-6195C0872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23180</CharactersWithSpaces>
  <SharedDoc>false</SharedDoc>
  <HLinks>
    <vt:vector size="6" baseType="variant">
      <vt:variant>
        <vt:i4>6881382</vt:i4>
      </vt:variant>
      <vt:variant>
        <vt:i4>0</vt:i4>
      </vt:variant>
      <vt:variant>
        <vt:i4>0</vt:i4>
      </vt:variant>
      <vt:variant>
        <vt:i4>5</vt:i4>
      </vt:variant>
      <vt:variant>
        <vt:lpwstr>https://www.health.gov.au/sites/default/files/documents/2022/06/how-allied-health-care-is-supported-under-an-acc-what-impact-will-an-acc-have-on-allied-health-services.pdf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to clarify the roles and responsibilities for the delivery of health care for people receiving aged care services</dc:title>
  <dc:subject>Aged care</dc:subject>
  <dc:creator/>
  <cp:keywords>Aged care</cp:keywords>
  <dc:description/>
  <cp:lastModifiedBy/>
  <cp:revision>1</cp:revision>
  <dcterms:created xsi:type="dcterms:W3CDTF">2024-02-04T22:27:00Z</dcterms:created>
  <dcterms:modified xsi:type="dcterms:W3CDTF">2024-02-04T23:03:00Z</dcterms:modified>
</cp:coreProperties>
</file>