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D7F81" w14:textId="77777777" w:rsidR="008E6B8D" w:rsidRPr="00193298" w:rsidRDefault="008E6B8D" w:rsidP="00320958">
      <w:pPr>
        <w:pStyle w:val="Title"/>
        <w:rPr>
          <w:rFonts w:asciiTheme="minorHAnsi" w:hAnsiTheme="minorHAnsi" w:cstheme="minorHAnsi"/>
        </w:rPr>
      </w:pPr>
      <w:r w:rsidRPr="00193298">
        <w:rPr>
          <w:rFonts w:asciiTheme="minorHAnsi" w:eastAsia="Times New Roman" w:hAnsiTheme="minorHAnsi" w:cstheme="minorHAnsi"/>
          <w:lang w:eastAsia="en-AU"/>
        </w:rPr>
        <w:t>Medicare Statistics: Explanatory Notes</w:t>
      </w:r>
    </w:p>
    <w:sdt>
      <w:sdtPr>
        <w:rPr>
          <w:rFonts w:asciiTheme="minorHAnsi" w:eastAsiaTheme="minorHAnsi" w:hAnsiTheme="minorHAnsi" w:cstheme="minorHAnsi"/>
          <w:color w:val="auto"/>
          <w:sz w:val="22"/>
          <w:szCs w:val="24"/>
          <w:lang w:val="en-AU"/>
        </w:rPr>
        <w:id w:val="2005554151"/>
        <w:docPartObj>
          <w:docPartGallery w:val="Table of Contents"/>
          <w:docPartUnique/>
        </w:docPartObj>
      </w:sdtPr>
      <w:sdtContent>
        <w:p w14:paraId="3EC22313" w14:textId="1BB9A398" w:rsidR="00320958" w:rsidRPr="00193298" w:rsidRDefault="00320958" w:rsidP="00410F88">
          <w:pPr>
            <w:pStyle w:val="TOCHeading"/>
            <w:rPr>
              <w:rFonts w:asciiTheme="minorHAnsi" w:hAnsiTheme="minorHAnsi" w:cstheme="minorHAnsi"/>
            </w:rPr>
          </w:pPr>
          <w:r w:rsidRPr="00193298">
            <w:rPr>
              <w:rFonts w:asciiTheme="minorHAnsi" w:hAnsiTheme="minorHAnsi" w:cstheme="minorHAnsi"/>
            </w:rPr>
            <w:t>Contents</w:t>
          </w:r>
        </w:p>
        <w:p w14:paraId="16A2C141" w14:textId="2EE89796" w:rsidR="00D24622" w:rsidRDefault="00320958">
          <w:pPr>
            <w:pStyle w:val="TOC1"/>
            <w:rPr>
              <w:rFonts w:eastAsiaTheme="minorEastAsia" w:cstheme="minorBidi"/>
              <w:b w:val="0"/>
              <w:kern w:val="2"/>
              <w:szCs w:val="22"/>
              <w14:ligatures w14:val="standardContextual"/>
            </w:rPr>
          </w:pPr>
          <w:r w:rsidRPr="00193298">
            <w:fldChar w:fldCharType="begin"/>
          </w:r>
          <w:r w:rsidRPr="00193298">
            <w:instrText xml:space="preserve"> TOC \o "1-3" \h \z \u </w:instrText>
          </w:r>
          <w:r w:rsidRPr="00193298">
            <w:fldChar w:fldCharType="separate"/>
          </w:r>
          <w:hyperlink w:anchor="_Toc159181234" w:history="1">
            <w:r w:rsidR="00D24622" w:rsidRPr="00B92D32">
              <w:rPr>
                <w:rStyle w:val="Hyperlink"/>
              </w:rPr>
              <w:t>Scope and Coverage of the Statistics:</w:t>
            </w:r>
            <w:r w:rsidR="00D24622">
              <w:rPr>
                <w:webHidden/>
              </w:rPr>
              <w:tab/>
            </w:r>
            <w:r w:rsidR="00D24622">
              <w:rPr>
                <w:webHidden/>
              </w:rPr>
              <w:fldChar w:fldCharType="begin"/>
            </w:r>
            <w:r w:rsidR="00D24622">
              <w:rPr>
                <w:webHidden/>
              </w:rPr>
              <w:instrText xml:space="preserve"> PAGEREF _Toc159181234 \h </w:instrText>
            </w:r>
            <w:r w:rsidR="00D24622">
              <w:rPr>
                <w:webHidden/>
              </w:rPr>
            </w:r>
            <w:r w:rsidR="00D24622">
              <w:rPr>
                <w:webHidden/>
              </w:rPr>
              <w:fldChar w:fldCharType="separate"/>
            </w:r>
            <w:r w:rsidR="00D24622">
              <w:rPr>
                <w:webHidden/>
              </w:rPr>
              <w:t>2</w:t>
            </w:r>
            <w:r w:rsidR="00D24622">
              <w:rPr>
                <w:webHidden/>
              </w:rPr>
              <w:fldChar w:fldCharType="end"/>
            </w:r>
          </w:hyperlink>
        </w:p>
        <w:p w14:paraId="7CDC9308" w14:textId="16E938C6" w:rsidR="00D24622" w:rsidRDefault="00D24622">
          <w:pPr>
            <w:pStyle w:val="TOC1"/>
            <w:rPr>
              <w:rFonts w:eastAsiaTheme="minorEastAsia" w:cstheme="minorBidi"/>
              <w:b w:val="0"/>
              <w:kern w:val="2"/>
              <w:szCs w:val="22"/>
              <w14:ligatures w14:val="standardContextual"/>
            </w:rPr>
          </w:pPr>
          <w:hyperlink w:anchor="_Toc159181235" w:history="1">
            <w:r w:rsidRPr="00B92D32">
              <w:rPr>
                <w:rStyle w:val="Hyperlink"/>
              </w:rPr>
              <w:t>Dates and Time Periods</w:t>
            </w:r>
            <w:r>
              <w:rPr>
                <w:webHidden/>
              </w:rPr>
              <w:tab/>
            </w:r>
            <w:r>
              <w:rPr>
                <w:webHidden/>
              </w:rPr>
              <w:fldChar w:fldCharType="begin"/>
            </w:r>
            <w:r>
              <w:rPr>
                <w:webHidden/>
              </w:rPr>
              <w:instrText xml:space="preserve"> PAGEREF _Toc159181235 \h </w:instrText>
            </w:r>
            <w:r>
              <w:rPr>
                <w:webHidden/>
              </w:rPr>
            </w:r>
            <w:r>
              <w:rPr>
                <w:webHidden/>
              </w:rPr>
              <w:fldChar w:fldCharType="separate"/>
            </w:r>
            <w:r>
              <w:rPr>
                <w:webHidden/>
              </w:rPr>
              <w:t>2</w:t>
            </w:r>
            <w:r>
              <w:rPr>
                <w:webHidden/>
              </w:rPr>
              <w:fldChar w:fldCharType="end"/>
            </w:r>
          </w:hyperlink>
        </w:p>
        <w:p w14:paraId="3501917E" w14:textId="20D56828" w:rsidR="00D24622" w:rsidRDefault="00D24622">
          <w:pPr>
            <w:pStyle w:val="TOC2"/>
            <w:tabs>
              <w:tab w:val="right" w:leader="dot" w:pos="9458"/>
            </w:tabs>
            <w:rPr>
              <w:rFonts w:eastAsiaTheme="minorEastAsia" w:cstheme="minorBidi"/>
              <w:noProof/>
              <w:kern w:val="2"/>
              <w:szCs w:val="22"/>
              <w:lang w:eastAsia="en-AU"/>
              <w14:ligatures w14:val="standardContextual"/>
            </w:rPr>
          </w:pPr>
          <w:hyperlink w:anchor="_Toc159181236" w:history="1">
            <w:r w:rsidRPr="00B92D32">
              <w:rPr>
                <w:rStyle w:val="Hyperlink"/>
                <w:noProof/>
              </w:rPr>
              <w:t>Quarterly</w:t>
            </w:r>
            <w:r>
              <w:rPr>
                <w:noProof/>
                <w:webHidden/>
              </w:rPr>
              <w:tab/>
            </w:r>
            <w:r>
              <w:rPr>
                <w:noProof/>
                <w:webHidden/>
              </w:rPr>
              <w:fldChar w:fldCharType="begin"/>
            </w:r>
            <w:r>
              <w:rPr>
                <w:noProof/>
                <w:webHidden/>
              </w:rPr>
              <w:instrText xml:space="preserve"> PAGEREF _Toc159181236 \h </w:instrText>
            </w:r>
            <w:r>
              <w:rPr>
                <w:noProof/>
                <w:webHidden/>
              </w:rPr>
            </w:r>
            <w:r>
              <w:rPr>
                <w:noProof/>
                <w:webHidden/>
              </w:rPr>
              <w:fldChar w:fldCharType="separate"/>
            </w:r>
            <w:r>
              <w:rPr>
                <w:noProof/>
                <w:webHidden/>
              </w:rPr>
              <w:t>2</w:t>
            </w:r>
            <w:r>
              <w:rPr>
                <w:noProof/>
                <w:webHidden/>
              </w:rPr>
              <w:fldChar w:fldCharType="end"/>
            </w:r>
          </w:hyperlink>
        </w:p>
        <w:p w14:paraId="183764B8" w14:textId="6B06DA87" w:rsidR="00D24622" w:rsidRDefault="00D24622">
          <w:pPr>
            <w:pStyle w:val="TOC2"/>
            <w:tabs>
              <w:tab w:val="right" w:leader="dot" w:pos="9458"/>
            </w:tabs>
            <w:rPr>
              <w:rFonts w:eastAsiaTheme="minorEastAsia" w:cstheme="minorBidi"/>
              <w:noProof/>
              <w:kern w:val="2"/>
              <w:szCs w:val="22"/>
              <w:lang w:eastAsia="en-AU"/>
              <w14:ligatures w14:val="standardContextual"/>
            </w:rPr>
          </w:pPr>
          <w:hyperlink w:anchor="_Toc159181237" w:history="1">
            <w:r w:rsidRPr="00B92D32">
              <w:rPr>
                <w:rStyle w:val="Hyperlink"/>
                <w:noProof/>
              </w:rPr>
              <w:t>Year-to-Date</w:t>
            </w:r>
            <w:r>
              <w:rPr>
                <w:noProof/>
                <w:webHidden/>
              </w:rPr>
              <w:tab/>
            </w:r>
            <w:r>
              <w:rPr>
                <w:noProof/>
                <w:webHidden/>
              </w:rPr>
              <w:fldChar w:fldCharType="begin"/>
            </w:r>
            <w:r>
              <w:rPr>
                <w:noProof/>
                <w:webHidden/>
              </w:rPr>
              <w:instrText xml:space="preserve"> PAGEREF _Toc159181237 \h </w:instrText>
            </w:r>
            <w:r>
              <w:rPr>
                <w:noProof/>
                <w:webHidden/>
              </w:rPr>
            </w:r>
            <w:r>
              <w:rPr>
                <w:noProof/>
                <w:webHidden/>
              </w:rPr>
              <w:fldChar w:fldCharType="separate"/>
            </w:r>
            <w:r>
              <w:rPr>
                <w:noProof/>
                <w:webHidden/>
              </w:rPr>
              <w:t>2</w:t>
            </w:r>
            <w:r>
              <w:rPr>
                <w:noProof/>
                <w:webHidden/>
              </w:rPr>
              <w:fldChar w:fldCharType="end"/>
            </w:r>
          </w:hyperlink>
        </w:p>
        <w:p w14:paraId="201FA76F" w14:textId="4FC6318E" w:rsidR="00D24622" w:rsidRDefault="00D24622">
          <w:pPr>
            <w:pStyle w:val="TOC2"/>
            <w:tabs>
              <w:tab w:val="right" w:leader="dot" w:pos="9458"/>
            </w:tabs>
            <w:rPr>
              <w:rFonts w:eastAsiaTheme="minorEastAsia" w:cstheme="minorBidi"/>
              <w:noProof/>
              <w:kern w:val="2"/>
              <w:szCs w:val="22"/>
              <w:lang w:eastAsia="en-AU"/>
              <w14:ligatures w14:val="standardContextual"/>
            </w:rPr>
          </w:pPr>
          <w:hyperlink w:anchor="_Toc159181238" w:history="1">
            <w:r w:rsidRPr="00B92D32">
              <w:rPr>
                <w:rStyle w:val="Hyperlink"/>
                <w:noProof/>
              </w:rPr>
              <w:t>Annual Figures</w:t>
            </w:r>
            <w:r>
              <w:rPr>
                <w:noProof/>
                <w:webHidden/>
              </w:rPr>
              <w:tab/>
            </w:r>
            <w:r>
              <w:rPr>
                <w:noProof/>
                <w:webHidden/>
              </w:rPr>
              <w:fldChar w:fldCharType="begin"/>
            </w:r>
            <w:r>
              <w:rPr>
                <w:noProof/>
                <w:webHidden/>
              </w:rPr>
              <w:instrText xml:space="preserve"> PAGEREF _Toc159181238 \h </w:instrText>
            </w:r>
            <w:r>
              <w:rPr>
                <w:noProof/>
                <w:webHidden/>
              </w:rPr>
            </w:r>
            <w:r>
              <w:rPr>
                <w:noProof/>
                <w:webHidden/>
              </w:rPr>
              <w:fldChar w:fldCharType="separate"/>
            </w:r>
            <w:r>
              <w:rPr>
                <w:noProof/>
                <w:webHidden/>
              </w:rPr>
              <w:t>2</w:t>
            </w:r>
            <w:r>
              <w:rPr>
                <w:noProof/>
                <w:webHidden/>
              </w:rPr>
              <w:fldChar w:fldCharType="end"/>
            </w:r>
          </w:hyperlink>
        </w:p>
        <w:p w14:paraId="796716D3" w14:textId="457FB34A" w:rsidR="00D24622" w:rsidRDefault="00D24622">
          <w:pPr>
            <w:pStyle w:val="TOC2"/>
            <w:tabs>
              <w:tab w:val="right" w:leader="dot" w:pos="9458"/>
            </w:tabs>
            <w:rPr>
              <w:rFonts w:eastAsiaTheme="minorEastAsia" w:cstheme="minorBidi"/>
              <w:noProof/>
              <w:kern w:val="2"/>
              <w:szCs w:val="22"/>
              <w:lang w:eastAsia="en-AU"/>
              <w14:ligatures w14:val="standardContextual"/>
            </w:rPr>
          </w:pPr>
          <w:hyperlink w:anchor="_Toc159181239" w:history="1">
            <w:r w:rsidRPr="00B92D32">
              <w:rPr>
                <w:rStyle w:val="Hyperlink"/>
                <w:noProof/>
              </w:rPr>
              <w:t>Rolling 12-month Time Series Statistics</w:t>
            </w:r>
            <w:r>
              <w:rPr>
                <w:noProof/>
                <w:webHidden/>
              </w:rPr>
              <w:tab/>
            </w:r>
            <w:r>
              <w:rPr>
                <w:noProof/>
                <w:webHidden/>
              </w:rPr>
              <w:fldChar w:fldCharType="begin"/>
            </w:r>
            <w:r>
              <w:rPr>
                <w:noProof/>
                <w:webHidden/>
              </w:rPr>
              <w:instrText xml:space="preserve"> PAGEREF _Toc159181239 \h </w:instrText>
            </w:r>
            <w:r>
              <w:rPr>
                <w:noProof/>
                <w:webHidden/>
              </w:rPr>
            </w:r>
            <w:r>
              <w:rPr>
                <w:noProof/>
                <w:webHidden/>
              </w:rPr>
              <w:fldChar w:fldCharType="separate"/>
            </w:r>
            <w:r>
              <w:rPr>
                <w:noProof/>
                <w:webHidden/>
              </w:rPr>
              <w:t>3</w:t>
            </w:r>
            <w:r>
              <w:rPr>
                <w:noProof/>
                <w:webHidden/>
              </w:rPr>
              <w:fldChar w:fldCharType="end"/>
            </w:r>
          </w:hyperlink>
        </w:p>
        <w:p w14:paraId="02E3A420" w14:textId="5CB348DC" w:rsidR="00D24622" w:rsidRDefault="00D24622">
          <w:pPr>
            <w:pStyle w:val="TOC2"/>
            <w:tabs>
              <w:tab w:val="right" w:leader="dot" w:pos="9458"/>
            </w:tabs>
            <w:rPr>
              <w:rFonts w:eastAsiaTheme="minorEastAsia" w:cstheme="minorBidi"/>
              <w:noProof/>
              <w:kern w:val="2"/>
              <w:szCs w:val="22"/>
              <w:lang w:eastAsia="en-AU"/>
              <w14:ligatures w14:val="standardContextual"/>
            </w:rPr>
          </w:pPr>
          <w:hyperlink w:anchor="_Toc159181240" w:history="1">
            <w:r w:rsidRPr="00B92D32">
              <w:rPr>
                <w:rStyle w:val="Hyperlink"/>
                <w:noProof/>
              </w:rPr>
              <w:t>Impact of Work Days on Interpretation</w:t>
            </w:r>
            <w:r>
              <w:rPr>
                <w:noProof/>
                <w:webHidden/>
              </w:rPr>
              <w:tab/>
            </w:r>
            <w:r>
              <w:rPr>
                <w:noProof/>
                <w:webHidden/>
              </w:rPr>
              <w:fldChar w:fldCharType="begin"/>
            </w:r>
            <w:r>
              <w:rPr>
                <w:noProof/>
                <w:webHidden/>
              </w:rPr>
              <w:instrText xml:space="preserve"> PAGEREF _Toc159181240 \h </w:instrText>
            </w:r>
            <w:r>
              <w:rPr>
                <w:noProof/>
                <w:webHidden/>
              </w:rPr>
            </w:r>
            <w:r>
              <w:rPr>
                <w:noProof/>
                <w:webHidden/>
              </w:rPr>
              <w:fldChar w:fldCharType="separate"/>
            </w:r>
            <w:r>
              <w:rPr>
                <w:noProof/>
                <w:webHidden/>
              </w:rPr>
              <w:t>3</w:t>
            </w:r>
            <w:r>
              <w:rPr>
                <w:noProof/>
                <w:webHidden/>
              </w:rPr>
              <w:fldChar w:fldCharType="end"/>
            </w:r>
          </w:hyperlink>
        </w:p>
        <w:p w14:paraId="721C22AF" w14:textId="5E636E3F" w:rsidR="00D24622" w:rsidRDefault="00D24622">
          <w:pPr>
            <w:pStyle w:val="TOC2"/>
            <w:tabs>
              <w:tab w:val="right" w:leader="dot" w:pos="9458"/>
            </w:tabs>
            <w:rPr>
              <w:rFonts w:eastAsiaTheme="minorEastAsia" w:cstheme="minorBidi"/>
              <w:noProof/>
              <w:kern w:val="2"/>
              <w:szCs w:val="22"/>
              <w:lang w:eastAsia="en-AU"/>
              <w14:ligatures w14:val="standardContextual"/>
            </w:rPr>
          </w:pPr>
          <w:hyperlink w:anchor="_Toc159181241" w:history="1">
            <w:r w:rsidRPr="00B92D32">
              <w:rPr>
                <w:rStyle w:val="Hyperlink"/>
                <w:noProof/>
              </w:rPr>
              <w:t>Calculation of % Change between two periods, corrected for working days</w:t>
            </w:r>
            <w:r>
              <w:rPr>
                <w:noProof/>
                <w:webHidden/>
              </w:rPr>
              <w:tab/>
            </w:r>
            <w:r>
              <w:rPr>
                <w:noProof/>
                <w:webHidden/>
              </w:rPr>
              <w:fldChar w:fldCharType="begin"/>
            </w:r>
            <w:r>
              <w:rPr>
                <w:noProof/>
                <w:webHidden/>
              </w:rPr>
              <w:instrText xml:space="preserve"> PAGEREF _Toc159181241 \h </w:instrText>
            </w:r>
            <w:r>
              <w:rPr>
                <w:noProof/>
                <w:webHidden/>
              </w:rPr>
            </w:r>
            <w:r>
              <w:rPr>
                <w:noProof/>
                <w:webHidden/>
              </w:rPr>
              <w:fldChar w:fldCharType="separate"/>
            </w:r>
            <w:r>
              <w:rPr>
                <w:noProof/>
                <w:webHidden/>
              </w:rPr>
              <w:t>3</w:t>
            </w:r>
            <w:r>
              <w:rPr>
                <w:noProof/>
                <w:webHidden/>
              </w:rPr>
              <w:fldChar w:fldCharType="end"/>
            </w:r>
          </w:hyperlink>
        </w:p>
        <w:p w14:paraId="3C6B8338" w14:textId="0DEBA535" w:rsidR="00D24622" w:rsidRDefault="00D24622">
          <w:pPr>
            <w:pStyle w:val="TOC1"/>
            <w:rPr>
              <w:rFonts w:eastAsiaTheme="minorEastAsia" w:cstheme="minorBidi"/>
              <w:b w:val="0"/>
              <w:kern w:val="2"/>
              <w:szCs w:val="22"/>
              <w14:ligatures w14:val="standardContextual"/>
            </w:rPr>
          </w:pPr>
          <w:hyperlink w:anchor="_Toc159181242" w:history="1">
            <w:r w:rsidRPr="00B92D32">
              <w:rPr>
                <w:rStyle w:val="Hyperlink"/>
              </w:rPr>
              <w:t>Broad Type of Service</w:t>
            </w:r>
            <w:r>
              <w:rPr>
                <w:webHidden/>
              </w:rPr>
              <w:tab/>
            </w:r>
            <w:r>
              <w:rPr>
                <w:webHidden/>
              </w:rPr>
              <w:fldChar w:fldCharType="begin"/>
            </w:r>
            <w:r>
              <w:rPr>
                <w:webHidden/>
              </w:rPr>
              <w:instrText xml:space="preserve"> PAGEREF _Toc159181242 \h </w:instrText>
            </w:r>
            <w:r>
              <w:rPr>
                <w:webHidden/>
              </w:rPr>
            </w:r>
            <w:r>
              <w:rPr>
                <w:webHidden/>
              </w:rPr>
              <w:fldChar w:fldCharType="separate"/>
            </w:r>
            <w:r>
              <w:rPr>
                <w:webHidden/>
              </w:rPr>
              <w:t>4</w:t>
            </w:r>
            <w:r>
              <w:rPr>
                <w:webHidden/>
              </w:rPr>
              <w:fldChar w:fldCharType="end"/>
            </w:r>
          </w:hyperlink>
        </w:p>
        <w:p w14:paraId="0395DEA1" w14:textId="7F394410" w:rsidR="00D24622" w:rsidRDefault="00D24622">
          <w:pPr>
            <w:pStyle w:val="TOC1"/>
            <w:rPr>
              <w:rFonts w:eastAsiaTheme="minorEastAsia" w:cstheme="minorBidi"/>
              <w:b w:val="0"/>
              <w:kern w:val="2"/>
              <w:szCs w:val="22"/>
              <w14:ligatures w14:val="standardContextual"/>
            </w:rPr>
          </w:pPr>
          <w:hyperlink w:anchor="_Toc159181243" w:history="1">
            <w:r w:rsidRPr="00B92D32">
              <w:rPr>
                <w:rStyle w:val="Hyperlink"/>
              </w:rPr>
              <w:t>Primary Care Service Type</w:t>
            </w:r>
            <w:r>
              <w:rPr>
                <w:webHidden/>
              </w:rPr>
              <w:tab/>
            </w:r>
            <w:r>
              <w:rPr>
                <w:webHidden/>
              </w:rPr>
              <w:fldChar w:fldCharType="begin"/>
            </w:r>
            <w:r>
              <w:rPr>
                <w:webHidden/>
              </w:rPr>
              <w:instrText xml:space="preserve"> PAGEREF _Toc159181243 \h </w:instrText>
            </w:r>
            <w:r>
              <w:rPr>
                <w:webHidden/>
              </w:rPr>
            </w:r>
            <w:r>
              <w:rPr>
                <w:webHidden/>
              </w:rPr>
              <w:fldChar w:fldCharType="separate"/>
            </w:r>
            <w:r>
              <w:rPr>
                <w:webHidden/>
              </w:rPr>
              <w:t>4</w:t>
            </w:r>
            <w:r>
              <w:rPr>
                <w:webHidden/>
              </w:rPr>
              <w:fldChar w:fldCharType="end"/>
            </w:r>
          </w:hyperlink>
        </w:p>
        <w:p w14:paraId="278A6D74" w14:textId="39E29AA4" w:rsidR="00D24622" w:rsidRDefault="00D24622">
          <w:pPr>
            <w:pStyle w:val="TOC1"/>
            <w:rPr>
              <w:rFonts w:eastAsiaTheme="minorEastAsia" w:cstheme="minorBidi"/>
              <w:b w:val="0"/>
              <w:kern w:val="2"/>
              <w:szCs w:val="22"/>
              <w14:ligatures w14:val="standardContextual"/>
            </w:rPr>
          </w:pPr>
          <w:hyperlink w:anchor="_Toc159181244" w:history="1">
            <w:r w:rsidRPr="00B92D32">
              <w:rPr>
                <w:rStyle w:val="Hyperlink"/>
              </w:rPr>
              <w:t>In-Hospital versus Out-of-hospital</w:t>
            </w:r>
            <w:r>
              <w:rPr>
                <w:webHidden/>
              </w:rPr>
              <w:tab/>
            </w:r>
            <w:r>
              <w:rPr>
                <w:webHidden/>
              </w:rPr>
              <w:fldChar w:fldCharType="begin"/>
            </w:r>
            <w:r>
              <w:rPr>
                <w:webHidden/>
              </w:rPr>
              <w:instrText xml:space="preserve"> PAGEREF _Toc159181244 \h </w:instrText>
            </w:r>
            <w:r>
              <w:rPr>
                <w:webHidden/>
              </w:rPr>
            </w:r>
            <w:r>
              <w:rPr>
                <w:webHidden/>
              </w:rPr>
              <w:fldChar w:fldCharType="separate"/>
            </w:r>
            <w:r>
              <w:rPr>
                <w:webHidden/>
              </w:rPr>
              <w:t>4</w:t>
            </w:r>
            <w:r>
              <w:rPr>
                <w:webHidden/>
              </w:rPr>
              <w:fldChar w:fldCharType="end"/>
            </w:r>
          </w:hyperlink>
        </w:p>
        <w:p w14:paraId="0495C001" w14:textId="2906D19D" w:rsidR="00D24622" w:rsidRDefault="00D24622">
          <w:pPr>
            <w:pStyle w:val="TOC1"/>
            <w:rPr>
              <w:rFonts w:eastAsiaTheme="minorEastAsia" w:cstheme="minorBidi"/>
              <w:b w:val="0"/>
              <w:kern w:val="2"/>
              <w:szCs w:val="22"/>
              <w14:ligatures w14:val="standardContextual"/>
            </w:rPr>
          </w:pPr>
          <w:hyperlink w:anchor="_Toc159181245" w:history="1">
            <w:r w:rsidRPr="00B92D32">
              <w:rPr>
                <w:rStyle w:val="Hyperlink"/>
              </w:rPr>
              <w:t>Patient Billing</w:t>
            </w:r>
            <w:r>
              <w:rPr>
                <w:webHidden/>
              </w:rPr>
              <w:tab/>
            </w:r>
            <w:r>
              <w:rPr>
                <w:webHidden/>
              </w:rPr>
              <w:fldChar w:fldCharType="begin"/>
            </w:r>
            <w:r>
              <w:rPr>
                <w:webHidden/>
              </w:rPr>
              <w:instrText xml:space="preserve"> PAGEREF _Toc159181245 \h </w:instrText>
            </w:r>
            <w:r>
              <w:rPr>
                <w:webHidden/>
              </w:rPr>
            </w:r>
            <w:r>
              <w:rPr>
                <w:webHidden/>
              </w:rPr>
              <w:fldChar w:fldCharType="separate"/>
            </w:r>
            <w:r>
              <w:rPr>
                <w:webHidden/>
              </w:rPr>
              <w:t>4</w:t>
            </w:r>
            <w:r>
              <w:rPr>
                <w:webHidden/>
              </w:rPr>
              <w:fldChar w:fldCharType="end"/>
            </w:r>
          </w:hyperlink>
        </w:p>
        <w:p w14:paraId="7FF39710" w14:textId="7A752A47" w:rsidR="00D24622" w:rsidRDefault="00D24622">
          <w:pPr>
            <w:pStyle w:val="TOC2"/>
            <w:tabs>
              <w:tab w:val="right" w:leader="dot" w:pos="9458"/>
            </w:tabs>
            <w:rPr>
              <w:rFonts w:eastAsiaTheme="minorEastAsia" w:cstheme="minorBidi"/>
              <w:noProof/>
              <w:kern w:val="2"/>
              <w:szCs w:val="22"/>
              <w:lang w:eastAsia="en-AU"/>
              <w14:ligatures w14:val="standardContextual"/>
            </w:rPr>
          </w:pPr>
          <w:hyperlink w:anchor="_Toc159181246" w:history="1">
            <w:r w:rsidRPr="00B92D32">
              <w:rPr>
                <w:rStyle w:val="Hyperlink"/>
                <w:noProof/>
              </w:rPr>
              <w:t>Bulk Billed versus Patient Billed Services</w:t>
            </w:r>
            <w:r>
              <w:rPr>
                <w:noProof/>
                <w:webHidden/>
              </w:rPr>
              <w:tab/>
            </w:r>
            <w:r>
              <w:rPr>
                <w:noProof/>
                <w:webHidden/>
              </w:rPr>
              <w:fldChar w:fldCharType="begin"/>
            </w:r>
            <w:r>
              <w:rPr>
                <w:noProof/>
                <w:webHidden/>
              </w:rPr>
              <w:instrText xml:space="preserve"> PAGEREF _Toc159181246 \h </w:instrText>
            </w:r>
            <w:r>
              <w:rPr>
                <w:noProof/>
                <w:webHidden/>
              </w:rPr>
            </w:r>
            <w:r>
              <w:rPr>
                <w:noProof/>
                <w:webHidden/>
              </w:rPr>
              <w:fldChar w:fldCharType="separate"/>
            </w:r>
            <w:r>
              <w:rPr>
                <w:noProof/>
                <w:webHidden/>
              </w:rPr>
              <w:t>4</w:t>
            </w:r>
            <w:r>
              <w:rPr>
                <w:noProof/>
                <w:webHidden/>
              </w:rPr>
              <w:fldChar w:fldCharType="end"/>
            </w:r>
          </w:hyperlink>
        </w:p>
        <w:p w14:paraId="3EF74390" w14:textId="0A87C2B9" w:rsidR="00D24622" w:rsidRDefault="00D24622">
          <w:pPr>
            <w:pStyle w:val="TOC3"/>
            <w:tabs>
              <w:tab w:val="right" w:leader="dot" w:pos="9458"/>
            </w:tabs>
            <w:rPr>
              <w:rFonts w:eastAsiaTheme="minorEastAsia" w:cstheme="minorBidi"/>
              <w:noProof/>
              <w:kern w:val="2"/>
              <w:szCs w:val="22"/>
              <w:lang w:eastAsia="en-AU"/>
              <w14:ligatures w14:val="standardContextual"/>
            </w:rPr>
          </w:pPr>
          <w:hyperlink w:anchor="_Toc159181247" w:history="1">
            <w:r w:rsidRPr="00B92D32">
              <w:rPr>
                <w:rStyle w:val="Hyperlink"/>
                <w:noProof/>
              </w:rPr>
              <w:t>Calculation of Bulk Billing Rate</w:t>
            </w:r>
            <w:r>
              <w:rPr>
                <w:noProof/>
                <w:webHidden/>
              </w:rPr>
              <w:tab/>
            </w:r>
            <w:r>
              <w:rPr>
                <w:noProof/>
                <w:webHidden/>
              </w:rPr>
              <w:fldChar w:fldCharType="begin"/>
            </w:r>
            <w:r>
              <w:rPr>
                <w:noProof/>
                <w:webHidden/>
              </w:rPr>
              <w:instrText xml:space="preserve"> PAGEREF _Toc159181247 \h </w:instrText>
            </w:r>
            <w:r>
              <w:rPr>
                <w:noProof/>
                <w:webHidden/>
              </w:rPr>
            </w:r>
            <w:r>
              <w:rPr>
                <w:noProof/>
                <w:webHidden/>
              </w:rPr>
              <w:fldChar w:fldCharType="separate"/>
            </w:r>
            <w:r>
              <w:rPr>
                <w:noProof/>
                <w:webHidden/>
              </w:rPr>
              <w:t>4</w:t>
            </w:r>
            <w:r>
              <w:rPr>
                <w:noProof/>
                <w:webHidden/>
              </w:rPr>
              <w:fldChar w:fldCharType="end"/>
            </w:r>
          </w:hyperlink>
        </w:p>
        <w:p w14:paraId="2EE7C3CE" w14:textId="41FF2068" w:rsidR="00D24622" w:rsidRDefault="00D24622">
          <w:pPr>
            <w:pStyle w:val="TOC2"/>
            <w:tabs>
              <w:tab w:val="right" w:leader="dot" w:pos="9458"/>
            </w:tabs>
            <w:rPr>
              <w:rFonts w:eastAsiaTheme="minorEastAsia" w:cstheme="minorBidi"/>
              <w:noProof/>
              <w:kern w:val="2"/>
              <w:szCs w:val="22"/>
              <w:lang w:eastAsia="en-AU"/>
              <w14:ligatures w14:val="standardContextual"/>
            </w:rPr>
          </w:pPr>
          <w:hyperlink w:anchor="_Toc159181248" w:history="1">
            <w:r w:rsidRPr="00B92D32">
              <w:rPr>
                <w:rStyle w:val="Hyperlink"/>
                <w:noProof/>
              </w:rPr>
              <w:t>Bulk Billing Ranges</w:t>
            </w:r>
            <w:r>
              <w:rPr>
                <w:noProof/>
                <w:webHidden/>
              </w:rPr>
              <w:tab/>
            </w:r>
            <w:r>
              <w:rPr>
                <w:noProof/>
                <w:webHidden/>
              </w:rPr>
              <w:fldChar w:fldCharType="begin"/>
            </w:r>
            <w:r>
              <w:rPr>
                <w:noProof/>
                <w:webHidden/>
              </w:rPr>
              <w:instrText xml:space="preserve"> PAGEREF _Toc159181248 \h </w:instrText>
            </w:r>
            <w:r>
              <w:rPr>
                <w:noProof/>
                <w:webHidden/>
              </w:rPr>
            </w:r>
            <w:r>
              <w:rPr>
                <w:noProof/>
                <w:webHidden/>
              </w:rPr>
              <w:fldChar w:fldCharType="separate"/>
            </w:r>
            <w:r>
              <w:rPr>
                <w:noProof/>
                <w:webHidden/>
              </w:rPr>
              <w:t>5</w:t>
            </w:r>
            <w:r>
              <w:rPr>
                <w:noProof/>
                <w:webHidden/>
              </w:rPr>
              <w:fldChar w:fldCharType="end"/>
            </w:r>
          </w:hyperlink>
        </w:p>
        <w:p w14:paraId="0C4F7D2C" w14:textId="14C0945F" w:rsidR="00D24622" w:rsidRDefault="00D24622">
          <w:pPr>
            <w:pStyle w:val="TOC2"/>
            <w:tabs>
              <w:tab w:val="right" w:leader="dot" w:pos="9458"/>
            </w:tabs>
            <w:rPr>
              <w:rFonts w:eastAsiaTheme="minorEastAsia" w:cstheme="minorBidi"/>
              <w:noProof/>
              <w:kern w:val="2"/>
              <w:szCs w:val="22"/>
              <w:lang w:eastAsia="en-AU"/>
              <w14:ligatures w14:val="standardContextual"/>
            </w:rPr>
          </w:pPr>
          <w:hyperlink w:anchor="_Toc159181249" w:history="1">
            <w:r w:rsidRPr="00B92D32">
              <w:rPr>
                <w:rStyle w:val="Hyperlink"/>
                <w:noProof/>
              </w:rPr>
              <w:t>Average Patient Contribution per Service</w:t>
            </w:r>
            <w:r>
              <w:rPr>
                <w:noProof/>
                <w:webHidden/>
              </w:rPr>
              <w:tab/>
            </w:r>
            <w:r>
              <w:rPr>
                <w:noProof/>
                <w:webHidden/>
              </w:rPr>
              <w:fldChar w:fldCharType="begin"/>
            </w:r>
            <w:r>
              <w:rPr>
                <w:noProof/>
                <w:webHidden/>
              </w:rPr>
              <w:instrText xml:space="preserve"> PAGEREF _Toc159181249 \h </w:instrText>
            </w:r>
            <w:r>
              <w:rPr>
                <w:noProof/>
                <w:webHidden/>
              </w:rPr>
            </w:r>
            <w:r>
              <w:rPr>
                <w:noProof/>
                <w:webHidden/>
              </w:rPr>
              <w:fldChar w:fldCharType="separate"/>
            </w:r>
            <w:r>
              <w:rPr>
                <w:noProof/>
                <w:webHidden/>
              </w:rPr>
              <w:t>5</w:t>
            </w:r>
            <w:r>
              <w:rPr>
                <w:noProof/>
                <w:webHidden/>
              </w:rPr>
              <w:fldChar w:fldCharType="end"/>
            </w:r>
          </w:hyperlink>
        </w:p>
        <w:p w14:paraId="6081B176" w14:textId="2221E531" w:rsidR="00D24622" w:rsidRDefault="00D24622">
          <w:pPr>
            <w:pStyle w:val="TOC3"/>
            <w:tabs>
              <w:tab w:val="right" w:leader="dot" w:pos="9458"/>
            </w:tabs>
            <w:rPr>
              <w:rFonts w:eastAsiaTheme="minorEastAsia" w:cstheme="minorBidi"/>
              <w:noProof/>
              <w:kern w:val="2"/>
              <w:szCs w:val="22"/>
              <w:lang w:eastAsia="en-AU"/>
              <w14:ligatures w14:val="standardContextual"/>
            </w:rPr>
          </w:pPr>
          <w:hyperlink w:anchor="_Toc159181250" w:history="1">
            <w:r w:rsidRPr="00B92D32">
              <w:rPr>
                <w:rStyle w:val="Hyperlink"/>
                <w:noProof/>
              </w:rPr>
              <w:t>Calculation of Average Patient Contribution</w:t>
            </w:r>
            <w:r>
              <w:rPr>
                <w:noProof/>
                <w:webHidden/>
              </w:rPr>
              <w:tab/>
            </w:r>
            <w:r>
              <w:rPr>
                <w:noProof/>
                <w:webHidden/>
              </w:rPr>
              <w:fldChar w:fldCharType="begin"/>
            </w:r>
            <w:r>
              <w:rPr>
                <w:noProof/>
                <w:webHidden/>
              </w:rPr>
              <w:instrText xml:space="preserve"> PAGEREF _Toc159181250 \h </w:instrText>
            </w:r>
            <w:r>
              <w:rPr>
                <w:noProof/>
                <w:webHidden/>
              </w:rPr>
            </w:r>
            <w:r>
              <w:rPr>
                <w:noProof/>
                <w:webHidden/>
              </w:rPr>
              <w:fldChar w:fldCharType="separate"/>
            </w:r>
            <w:r>
              <w:rPr>
                <w:noProof/>
                <w:webHidden/>
              </w:rPr>
              <w:t>5</w:t>
            </w:r>
            <w:r>
              <w:rPr>
                <w:noProof/>
                <w:webHidden/>
              </w:rPr>
              <w:fldChar w:fldCharType="end"/>
            </w:r>
          </w:hyperlink>
        </w:p>
        <w:p w14:paraId="6A81E9B6" w14:textId="54C12AF2" w:rsidR="00D24622" w:rsidRDefault="00D24622">
          <w:pPr>
            <w:pStyle w:val="TOC1"/>
            <w:rPr>
              <w:rFonts w:eastAsiaTheme="minorEastAsia" w:cstheme="minorBidi"/>
              <w:b w:val="0"/>
              <w:kern w:val="2"/>
              <w:szCs w:val="22"/>
              <w14:ligatures w14:val="standardContextual"/>
            </w:rPr>
          </w:pPr>
          <w:hyperlink w:anchor="_Toc159181251" w:history="1">
            <w:r w:rsidRPr="00B92D32">
              <w:rPr>
                <w:rStyle w:val="Hyperlink"/>
              </w:rPr>
              <w:t>Geography</w:t>
            </w:r>
            <w:r>
              <w:rPr>
                <w:webHidden/>
              </w:rPr>
              <w:tab/>
            </w:r>
            <w:r>
              <w:rPr>
                <w:webHidden/>
              </w:rPr>
              <w:fldChar w:fldCharType="begin"/>
            </w:r>
            <w:r>
              <w:rPr>
                <w:webHidden/>
              </w:rPr>
              <w:instrText xml:space="preserve"> PAGEREF _Toc159181251 \h </w:instrText>
            </w:r>
            <w:r>
              <w:rPr>
                <w:webHidden/>
              </w:rPr>
            </w:r>
            <w:r>
              <w:rPr>
                <w:webHidden/>
              </w:rPr>
              <w:fldChar w:fldCharType="separate"/>
            </w:r>
            <w:r>
              <w:rPr>
                <w:webHidden/>
              </w:rPr>
              <w:t>5</w:t>
            </w:r>
            <w:r>
              <w:rPr>
                <w:webHidden/>
              </w:rPr>
              <w:fldChar w:fldCharType="end"/>
            </w:r>
          </w:hyperlink>
        </w:p>
        <w:p w14:paraId="14EFCFE6" w14:textId="656D1FEE" w:rsidR="00D24622" w:rsidRDefault="00D24622">
          <w:pPr>
            <w:pStyle w:val="TOC2"/>
            <w:tabs>
              <w:tab w:val="right" w:leader="dot" w:pos="9458"/>
            </w:tabs>
            <w:rPr>
              <w:rFonts w:eastAsiaTheme="minorEastAsia" w:cstheme="minorBidi"/>
              <w:noProof/>
              <w:kern w:val="2"/>
              <w:szCs w:val="22"/>
              <w:lang w:eastAsia="en-AU"/>
              <w14:ligatures w14:val="standardContextual"/>
            </w:rPr>
          </w:pPr>
          <w:hyperlink w:anchor="_Toc159181252" w:history="1">
            <w:r w:rsidRPr="00B92D32">
              <w:rPr>
                <w:rStyle w:val="Hyperlink"/>
                <w:noProof/>
              </w:rPr>
              <w:t>Primary Health Network (PHN)</w:t>
            </w:r>
            <w:r>
              <w:rPr>
                <w:noProof/>
                <w:webHidden/>
              </w:rPr>
              <w:tab/>
            </w:r>
            <w:r>
              <w:rPr>
                <w:noProof/>
                <w:webHidden/>
              </w:rPr>
              <w:fldChar w:fldCharType="begin"/>
            </w:r>
            <w:r>
              <w:rPr>
                <w:noProof/>
                <w:webHidden/>
              </w:rPr>
              <w:instrText xml:space="preserve"> PAGEREF _Toc159181252 \h </w:instrText>
            </w:r>
            <w:r>
              <w:rPr>
                <w:noProof/>
                <w:webHidden/>
              </w:rPr>
            </w:r>
            <w:r>
              <w:rPr>
                <w:noProof/>
                <w:webHidden/>
              </w:rPr>
              <w:fldChar w:fldCharType="separate"/>
            </w:r>
            <w:r>
              <w:rPr>
                <w:noProof/>
                <w:webHidden/>
              </w:rPr>
              <w:t>5</w:t>
            </w:r>
            <w:r>
              <w:rPr>
                <w:noProof/>
                <w:webHidden/>
              </w:rPr>
              <w:fldChar w:fldCharType="end"/>
            </w:r>
          </w:hyperlink>
        </w:p>
        <w:p w14:paraId="4F0769CB" w14:textId="2C5B81DF" w:rsidR="00D24622" w:rsidRDefault="00D24622">
          <w:pPr>
            <w:pStyle w:val="TOC2"/>
            <w:tabs>
              <w:tab w:val="right" w:leader="dot" w:pos="9458"/>
            </w:tabs>
            <w:rPr>
              <w:rFonts w:eastAsiaTheme="minorEastAsia" w:cstheme="minorBidi"/>
              <w:noProof/>
              <w:kern w:val="2"/>
              <w:szCs w:val="22"/>
              <w:lang w:eastAsia="en-AU"/>
              <w14:ligatures w14:val="standardContextual"/>
            </w:rPr>
          </w:pPr>
          <w:hyperlink w:anchor="_Toc159181253" w:history="1">
            <w:r w:rsidRPr="00B92D32">
              <w:rPr>
                <w:rStyle w:val="Hyperlink"/>
                <w:noProof/>
              </w:rPr>
              <w:t>Socio-Economic Indexes for Areas (SEIFA)</w:t>
            </w:r>
            <w:r>
              <w:rPr>
                <w:noProof/>
                <w:webHidden/>
              </w:rPr>
              <w:tab/>
            </w:r>
            <w:r>
              <w:rPr>
                <w:noProof/>
                <w:webHidden/>
              </w:rPr>
              <w:fldChar w:fldCharType="begin"/>
            </w:r>
            <w:r>
              <w:rPr>
                <w:noProof/>
                <w:webHidden/>
              </w:rPr>
              <w:instrText xml:space="preserve"> PAGEREF _Toc159181253 \h </w:instrText>
            </w:r>
            <w:r>
              <w:rPr>
                <w:noProof/>
                <w:webHidden/>
              </w:rPr>
            </w:r>
            <w:r>
              <w:rPr>
                <w:noProof/>
                <w:webHidden/>
              </w:rPr>
              <w:fldChar w:fldCharType="separate"/>
            </w:r>
            <w:r>
              <w:rPr>
                <w:noProof/>
                <w:webHidden/>
              </w:rPr>
              <w:t>5</w:t>
            </w:r>
            <w:r>
              <w:rPr>
                <w:noProof/>
                <w:webHidden/>
              </w:rPr>
              <w:fldChar w:fldCharType="end"/>
            </w:r>
          </w:hyperlink>
        </w:p>
        <w:p w14:paraId="6A727646" w14:textId="26B788A3" w:rsidR="00D24622" w:rsidRDefault="00D24622">
          <w:pPr>
            <w:pStyle w:val="TOC2"/>
            <w:tabs>
              <w:tab w:val="right" w:leader="dot" w:pos="9458"/>
            </w:tabs>
            <w:rPr>
              <w:rFonts w:eastAsiaTheme="minorEastAsia" w:cstheme="minorBidi"/>
              <w:noProof/>
              <w:kern w:val="2"/>
              <w:szCs w:val="22"/>
              <w:lang w:eastAsia="en-AU"/>
              <w14:ligatures w14:val="standardContextual"/>
            </w:rPr>
          </w:pPr>
          <w:hyperlink w:anchor="_Toc159181254" w:history="1">
            <w:r w:rsidRPr="00B92D32">
              <w:rPr>
                <w:rStyle w:val="Hyperlink"/>
                <w:noProof/>
              </w:rPr>
              <w:t>Modified Monash Model (MMM)</w:t>
            </w:r>
            <w:r>
              <w:rPr>
                <w:noProof/>
                <w:webHidden/>
              </w:rPr>
              <w:tab/>
            </w:r>
            <w:r>
              <w:rPr>
                <w:noProof/>
                <w:webHidden/>
              </w:rPr>
              <w:fldChar w:fldCharType="begin"/>
            </w:r>
            <w:r>
              <w:rPr>
                <w:noProof/>
                <w:webHidden/>
              </w:rPr>
              <w:instrText xml:space="preserve"> PAGEREF _Toc159181254 \h </w:instrText>
            </w:r>
            <w:r>
              <w:rPr>
                <w:noProof/>
                <w:webHidden/>
              </w:rPr>
            </w:r>
            <w:r>
              <w:rPr>
                <w:noProof/>
                <w:webHidden/>
              </w:rPr>
              <w:fldChar w:fldCharType="separate"/>
            </w:r>
            <w:r>
              <w:rPr>
                <w:noProof/>
                <w:webHidden/>
              </w:rPr>
              <w:t>6</w:t>
            </w:r>
            <w:r>
              <w:rPr>
                <w:noProof/>
                <w:webHidden/>
              </w:rPr>
              <w:fldChar w:fldCharType="end"/>
            </w:r>
          </w:hyperlink>
        </w:p>
        <w:p w14:paraId="443039FD" w14:textId="1F3BDBDE" w:rsidR="00D24622" w:rsidRDefault="00D24622">
          <w:pPr>
            <w:pStyle w:val="TOC2"/>
            <w:tabs>
              <w:tab w:val="right" w:leader="dot" w:pos="9458"/>
            </w:tabs>
            <w:rPr>
              <w:rFonts w:eastAsiaTheme="minorEastAsia" w:cstheme="minorBidi"/>
              <w:noProof/>
              <w:kern w:val="2"/>
              <w:szCs w:val="22"/>
              <w:lang w:eastAsia="en-AU"/>
              <w14:ligatures w14:val="standardContextual"/>
            </w:rPr>
          </w:pPr>
          <w:hyperlink w:anchor="_Toc159181255" w:history="1">
            <w:r w:rsidRPr="00B92D32">
              <w:rPr>
                <w:rStyle w:val="Hyperlink"/>
                <w:rFonts w:eastAsia="Times New Roman"/>
                <w:noProof/>
                <w:lang w:eastAsia="en-AU"/>
              </w:rPr>
              <w:t>Determining Patient State and Modified Monash (MMM)</w:t>
            </w:r>
            <w:r>
              <w:rPr>
                <w:noProof/>
                <w:webHidden/>
              </w:rPr>
              <w:tab/>
            </w:r>
            <w:r>
              <w:rPr>
                <w:noProof/>
                <w:webHidden/>
              </w:rPr>
              <w:fldChar w:fldCharType="begin"/>
            </w:r>
            <w:r>
              <w:rPr>
                <w:noProof/>
                <w:webHidden/>
              </w:rPr>
              <w:instrText xml:space="preserve"> PAGEREF _Toc159181255 \h </w:instrText>
            </w:r>
            <w:r>
              <w:rPr>
                <w:noProof/>
                <w:webHidden/>
              </w:rPr>
            </w:r>
            <w:r>
              <w:rPr>
                <w:noProof/>
                <w:webHidden/>
              </w:rPr>
              <w:fldChar w:fldCharType="separate"/>
            </w:r>
            <w:r>
              <w:rPr>
                <w:noProof/>
                <w:webHidden/>
              </w:rPr>
              <w:t>6</w:t>
            </w:r>
            <w:r>
              <w:rPr>
                <w:noProof/>
                <w:webHidden/>
              </w:rPr>
              <w:fldChar w:fldCharType="end"/>
            </w:r>
          </w:hyperlink>
        </w:p>
        <w:p w14:paraId="092D8198" w14:textId="2D6C92F4" w:rsidR="00D24622" w:rsidRDefault="00D24622">
          <w:pPr>
            <w:pStyle w:val="TOC3"/>
            <w:tabs>
              <w:tab w:val="right" w:leader="dot" w:pos="9458"/>
            </w:tabs>
            <w:rPr>
              <w:rFonts w:eastAsiaTheme="minorEastAsia" w:cstheme="minorBidi"/>
              <w:noProof/>
              <w:kern w:val="2"/>
              <w:szCs w:val="22"/>
              <w:lang w:eastAsia="en-AU"/>
              <w14:ligatures w14:val="standardContextual"/>
            </w:rPr>
          </w:pPr>
          <w:hyperlink w:anchor="_Toc159181256" w:history="1">
            <w:r w:rsidRPr="00B92D32">
              <w:rPr>
                <w:rStyle w:val="Hyperlink"/>
                <w:rFonts w:eastAsia="Times New Roman"/>
                <w:noProof/>
                <w:lang w:eastAsia="en-AU"/>
              </w:rPr>
              <w:t>Time series break from September 2009-10</w:t>
            </w:r>
            <w:r>
              <w:rPr>
                <w:noProof/>
                <w:webHidden/>
              </w:rPr>
              <w:tab/>
            </w:r>
            <w:r>
              <w:rPr>
                <w:noProof/>
                <w:webHidden/>
              </w:rPr>
              <w:fldChar w:fldCharType="begin"/>
            </w:r>
            <w:r>
              <w:rPr>
                <w:noProof/>
                <w:webHidden/>
              </w:rPr>
              <w:instrText xml:space="preserve"> PAGEREF _Toc159181256 \h </w:instrText>
            </w:r>
            <w:r>
              <w:rPr>
                <w:noProof/>
                <w:webHidden/>
              </w:rPr>
            </w:r>
            <w:r>
              <w:rPr>
                <w:noProof/>
                <w:webHidden/>
              </w:rPr>
              <w:fldChar w:fldCharType="separate"/>
            </w:r>
            <w:r>
              <w:rPr>
                <w:noProof/>
                <w:webHidden/>
              </w:rPr>
              <w:t>7</w:t>
            </w:r>
            <w:r>
              <w:rPr>
                <w:noProof/>
                <w:webHidden/>
              </w:rPr>
              <w:fldChar w:fldCharType="end"/>
            </w:r>
          </w:hyperlink>
        </w:p>
        <w:p w14:paraId="31D1602A" w14:textId="7B72392A" w:rsidR="00D24622" w:rsidRDefault="00D24622">
          <w:pPr>
            <w:pStyle w:val="TOC1"/>
            <w:rPr>
              <w:rFonts w:eastAsiaTheme="minorEastAsia" w:cstheme="minorBidi"/>
              <w:b w:val="0"/>
              <w:kern w:val="2"/>
              <w:szCs w:val="22"/>
              <w14:ligatures w14:val="standardContextual"/>
            </w:rPr>
          </w:pPr>
          <w:hyperlink w:anchor="_Toc159181257" w:history="1">
            <w:r w:rsidRPr="00B92D32">
              <w:rPr>
                <w:rStyle w:val="Hyperlink"/>
              </w:rPr>
              <w:t>Disclaimer</w:t>
            </w:r>
            <w:r>
              <w:rPr>
                <w:webHidden/>
              </w:rPr>
              <w:tab/>
            </w:r>
            <w:r>
              <w:rPr>
                <w:webHidden/>
              </w:rPr>
              <w:fldChar w:fldCharType="begin"/>
            </w:r>
            <w:r>
              <w:rPr>
                <w:webHidden/>
              </w:rPr>
              <w:instrText xml:space="preserve"> PAGEREF _Toc159181257 \h </w:instrText>
            </w:r>
            <w:r>
              <w:rPr>
                <w:webHidden/>
              </w:rPr>
            </w:r>
            <w:r>
              <w:rPr>
                <w:webHidden/>
              </w:rPr>
              <w:fldChar w:fldCharType="separate"/>
            </w:r>
            <w:r>
              <w:rPr>
                <w:webHidden/>
              </w:rPr>
              <w:t>7</w:t>
            </w:r>
            <w:r>
              <w:rPr>
                <w:webHidden/>
              </w:rPr>
              <w:fldChar w:fldCharType="end"/>
            </w:r>
          </w:hyperlink>
        </w:p>
        <w:p w14:paraId="1E5E9DA1" w14:textId="4862EAB9" w:rsidR="00320958" w:rsidRPr="00193298" w:rsidRDefault="00320958" w:rsidP="00D24622">
          <w:r w:rsidRPr="00193298">
            <w:fldChar w:fldCharType="end"/>
          </w:r>
        </w:p>
      </w:sdtContent>
    </w:sdt>
    <w:p w14:paraId="429B0095" w14:textId="4545B5DC" w:rsidR="008E6B8D" w:rsidRPr="00193298" w:rsidRDefault="008E6B8D" w:rsidP="00D24622">
      <w:r w:rsidRPr="00193298">
        <w:br w:type="page"/>
      </w:r>
    </w:p>
    <w:p w14:paraId="4F723C5B" w14:textId="77777777" w:rsidR="00755191" w:rsidRPr="00193298" w:rsidRDefault="00755191" w:rsidP="00D24622">
      <w:pPr>
        <w:pStyle w:val="Heading1"/>
      </w:pPr>
      <w:bookmarkStart w:id="0" w:name="_Toc127529763"/>
      <w:bookmarkStart w:id="1" w:name="_Toc159181234"/>
      <w:r w:rsidRPr="00193298">
        <w:rPr>
          <w:rFonts w:eastAsia="Times New Roman"/>
          <w:lang w:eastAsia="en-AU"/>
        </w:rPr>
        <w:lastRenderedPageBreak/>
        <w:t xml:space="preserve">Scope and </w:t>
      </w:r>
      <w:r w:rsidRPr="00D24622">
        <w:t>Coverage</w:t>
      </w:r>
      <w:r w:rsidRPr="00193298">
        <w:rPr>
          <w:rFonts w:eastAsia="Times New Roman"/>
          <w:lang w:eastAsia="en-AU"/>
        </w:rPr>
        <w:t xml:space="preserve"> of the Statistics:</w:t>
      </w:r>
      <w:bookmarkEnd w:id="0"/>
      <w:bookmarkEnd w:id="1"/>
    </w:p>
    <w:p w14:paraId="31A2F719" w14:textId="77777777" w:rsidR="00C140B4" w:rsidRPr="00193298" w:rsidRDefault="00755191" w:rsidP="00D24622">
      <w:r w:rsidRPr="00193298">
        <w:t xml:space="preserve">The data and statistics include </w:t>
      </w:r>
      <w:r w:rsidR="00C63839" w:rsidRPr="00193298">
        <w:t xml:space="preserve">medical </w:t>
      </w:r>
      <w:r w:rsidRPr="00193298">
        <w:t>services that are performed by a registered provider, for services that qualify for Medicare Benefit</w:t>
      </w:r>
      <w:r w:rsidR="00C63839" w:rsidRPr="00193298">
        <w:t>,</w:t>
      </w:r>
      <w:r w:rsidRPr="00193298">
        <w:t xml:space="preserve"> and for which a claim has been processed by Services Australia. </w:t>
      </w:r>
    </w:p>
    <w:p w14:paraId="13F60874" w14:textId="04D31A42" w:rsidR="00C63839" w:rsidRPr="00193298" w:rsidRDefault="00755191" w:rsidP="00D24622">
      <w:r w:rsidRPr="00193298">
        <w:t>They do not include</w:t>
      </w:r>
      <w:r w:rsidR="00C63839" w:rsidRPr="00193298">
        <w:t>:</w:t>
      </w:r>
      <w:r w:rsidRPr="00193298">
        <w:t xml:space="preserve"> </w:t>
      </w:r>
    </w:p>
    <w:p w14:paraId="60AF04E2" w14:textId="77777777" w:rsidR="00C63839" w:rsidRPr="00193298" w:rsidRDefault="00755191" w:rsidP="00D24622">
      <w:pPr>
        <w:pStyle w:val="ListBullet"/>
        <w:rPr>
          <w:lang w:val="en" w:eastAsia="en-AU"/>
        </w:rPr>
      </w:pPr>
      <w:r w:rsidRPr="00193298">
        <w:rPr>
          <w:lang w:val="en" w:eastAsia="en-AU"/>
        </w:rPr>
        <w:t>services provided by hospital doctors to public pati</w:t>
      </w:r>
      <w:r w:rsidR="00C63839" w:rsidRPr="00193298">
        <w:rPr>
          <w:lang w:val="en" w:eastAsia="en-AU"/>
        </w:rPr>
        <w:t>ents,</w:t>
      </w:r>
      <w:r w:rsidRPr="00193298">
        <w:rPr>
          <w:lang w:val="en" w:eastAsia="en-AU"/>
        </w:rPr>
        <w:t xml:space="preserve"> </w:t>
      </w:r>
    </w:p>
    <w:p w14:paraId="355B3B87" w14:textId="77777777" w:rsidR="00C63839" w:rsidRPr="00193298" w:rsidRDefault="00755191" w:rsidP="00D24622">
      <w:pPr>
        <w:pStyle w:val="ListBullet"/>
        <w:rPr>
          <w:lang w:val="en" w:eastAsia="en-AU"/>
        </w:rPr>
      </w:pPr>
      <w:r w:rsidRPr="00193298">
        <w:rPr>
          <w:lang w:val="en" w:eastAsia="en-AU"/>
        </w:rPr>
        <w:t xml:space="preserve">services </w:t>
      </w:r>
      <w:r w:rsidR="00C63839" w:rsidRPr="00193298">
        <w:rPr>
          <w:lang w:val="en" w:eastAsia="en-AU"/>
        </w:rPr>
        <w:t xml:space="preserve">provided </w:t>
      </w:r>
      <w:r w:rsidRPr="00193298">
        <w:rPr>
          <w:lang w:val="en" w:eastAsia="en-AU"/>
        </w:rPr>
        <w:t>under the Department of Veterans' Aff</w:t>
      </w:r>
      <w:r w:rsidR="00C63839" w:rsidRPr="00193298">
        <w:rPr>
          <w:lang w:val="en" w:eastAsia="en-AU"/>
        </w:rPr>
        <w:t>airs National Treatment Account,</w:t>
      </w:r>
      <w:r w:rsidRPr="00193298">
        <w:rPr>
          <w:lang w:val="en" w:eastAsia="en-AU"/>
        </w:rPr>
        <w:t xml:space="preserve"> </w:t>
      </w:r>
    </w:p>
    <w:p w14:paraId="08077354" w14:textId="77777777" w:rsidR="00C63839" w:rsidRPr="00193298" w:rsidRDefault="00755191" w:rsidP="00D24622">
      <w:pPr>
        <w:pStyle w:val="ListBullet"/>
        <w:rPr>
          <w:lang w:eastAsia="en-AU"/>
        </w:rPr>
      </w:pPr>
      <w:r w:rsidRPr="00193298">
        <w:rPr>
          <w:lang w:val="en" w:eastAsia="en-AU"/>
        </w:rPr>
        <w:t xml:space="preserve">services covered by </w:t>
      </w:r>
      <w:r w:rsidRPr="00193298">
        <w:rPr>
          <w:lang w:eastAsia="en-AU"/>
        </w:rPr>
        <w:t>third</w:t>
      </w:r>
      <w:r w:rsidR="00C63839" w:rsidRPr="00193298">
        <w:rPr>
          <w:lang w:eastAsia="en-AU"/>
        </w:rPr>
        <w:t xml:space="preserve"> party or workers' compensation,</w:t>
      </w:r>
      <w:r w:rsidRPr="00193298">
        <w:rPr>
          <w:lang w:eastAsia="en-AU"/>
        </w:rPr>
        <w:t xml:space="preserve"> </w:t>
      </w:r>
    </w:p>
    <w:p w14:paraId="20E0035B" w14:textId="77777777" w:rsidR="00C63839" w:rsidRPr="00193298" w:rsidRDefault="00755191" w:rsidP="00D24622">
      <w:pPr>
        <w:pStyle w:val="ListBullet"/>
        <w:rPr>
          <w:lang w:eastAsia="en-AU"/>
        </w:rPr>
      </w:pPr>
      <w:r w:rsidRPr="00193298">
        <w:rPr>
          <w:lang w:eastAsia="en-AU"/>
        </w:rPr>
        <w:t>services rendered to repatriation beneficiar</w:t>
      </w:r>
      <w:r w:rsidR="00C63839" w:rsidRPr="00193298">
        <w:rPr>
          <w:lang w:eastAsia="en-AU"/>
        </w:rPr>
        <w:t>ies or defence personnel,</w:t>
      </w:r>
      <w:r w:rsidRPr="00193298">
        <w:rPr>
          <w:lang w:eastAsia="en-AU"/>
        </w:rPr>
        <w:t xml:space="preserve"> </w:t>
      </w:r>
    </w:p>
    <w:p w14:paraId="4CED897B" w14:textId="77777777" w:rsidR="00C63839" w:rsidRPr="00193298" w:rsidRDefault="00755191" w:rsidP="00D24622">
      <w:pPr>
        <w:pStyle w:val="ListBullet"/>
        <w:rPr>
          <w:lang w:eastAsia="en-AU"/>
        </w:rPr>
      </w:pPr>
      <w:r w:rsidRPr="00193298">
        <w:rPr>
          <w:lang w:eastAsia="en-AU"/>
        </w:rPr>
        <w:t>services rendered for i</w:t>
      </w:r>
      <w:r w:rsidR="00C63839" w:rsidRPr="00193298">
        <w:rPr>
          <w:lang w:eastAsia="en-AU"/>
        </w:rPr>
        <w:t xml:space="preserve">nsurance or employment purposes, </w:t>
      </w:r>
    </w:p>
    <w:p w14:paraId="4FC02234" w14:textId="3E837AB4" w:rsidR="00A8671A" w:rsidRPr="00193298" w:rsidRDefault="00A8671A" w:rsidP="00D24622">
      <w:pPr>
        <w:pStyle w:val="ListBullet"/>
        <w:rPr>
          <w:lang w:eastAsia="en-AU"/>
        </w:rPr>
      </w:pPr>
      <w:r w:rsidRPr="00193298">
        <w:rPr>
          <w:lang w:eastAsia="en-AU"/>
        </w:rPr>
        <w:t>services that are funded directly by other Australian Government programs (</w:t>
      </w:r>
      <w:r w:rsidR="00DE369D" w:rsidRPr="00193298">
        <w:rPr>
          <w:lang w:eastAsia="en-AU"/>
        </w:rPr>
        <w:t>e.g.</w:t>
      </w:r>
      <w:r w:rsidR="002F183B" w:rsidRPr="00193298">
        <w:rPr>
          <w:lang w:eastAsia="en-AU"/>
        </w:rPr>
        <w:t>,</w:t>
      </w:r>
      <w:r w:rsidRPr="00193298">
        <w:rPr>
          <w:lang w:eastAsia="en-AU"/>
        </w:rPr>
        <w:t xml:space="preserve"> health screening services), or </w:t>
      </w:r>
    </w:p>
    <w:p w14:paraId="18ECFBA9" w14:textId="77777777" w:rsidR="00755191" w:rsidRPr="00193298" w:rsidRDefault="00A8671A" w:rsidP="00D24622">
      <w:pPr>
        <w:pStyle w:val="ListBullet"/>
        <w:rPr>
          <w:lang w:eastAsia="en-AU"/>
        </w:rPr>
      </w:pPr>
      <w:r w:rsidRPr="00193298">
        <w:rPr>
          <w:lang w:eastAsia="en-AU"/>
        </w:rPr>
        <w:t>services funded directly by State/Territory Government</w:t>
      </w:r>
      <w:r w:rsidR="00541A35" w:rsidRPr="00193298">
        <w:rPr>
          <w:lang w:eastAsia="en-AU"/>
        </w:rPr>
        <w:t xml:space="preserve"> programs</w:t>
      </w:r>
      <w:r w:rsidRPr="00193298">
        <w:rPr>
          <w:lang w:eastAsia="en-AU"/>
        </w:rPr>
        <w:t>.</w:t>
      </w:r>
    </w:p>
    <w:p w14:paraId="567F42E8" w14:textId="40524930" w:rsidR="003B2084" w:rsidRPr="00D24622" w:rsidRDefault="003B2084" w:rsidP="00D24622">
      <w:pPr>
        <w:pStyle w:val="Heading1"/>
      </w:pPr>
      <w:bookmarkStart w:id="2" w:name="_Toc127529764"/>
      <w:bookmarkStart w:id="3" w:name="_Toc159181235"/>
      <w:r w:rsidRPr="00193298">
        <w:t xml:space="preserve">Dates and </w:t>
      </w:r>
      <w:r w:rsidR="00971FC4" w:rsidRPr="00193298">
        <w:t>Time Periods</w:t>
      </w:r>
      <w:bookmarkEnd w:id="2"/>
      <w:bookmarkEnd w:id="3"/>
    </w:p>
    <w:p w14:paraId="6B36A72E" w14:textId="77777777" w:rsidR="003B2084" w:rsidRPr="00193298" w:rsidRDefault="003B2084" w:rsidP="00D24622">
      <w:r w:rsidRPr="00193298">
        <w:t xml:space="preserve">The Department of Health publishes Medicare data based on the date the claim was processed (date of processing) not the date the service was provided. </w:t>
      </w:r>
    </w:p>
    <w:p w14:paraId="2AB874F1" w14:textId="77777777" w:rsidR="003B2084" w:rsidRPr="00193298" w:rsidRDefault="003B2084" w:rsidP="00D24622">
      <w:r w:rsidRPr="00193298">
        <w:t xml:space="preserve">Figures are provided in Quarterly, </w:t>
      </w:r>
      <w:proofErr w:type="gramStart"/>
      <w:r w:rsidRPr="00193298">
        <w:t>Year</w:t>
      </w:r>
      <w:r w:rsidR="00DE369D" w:rsidRPr="00193298">
        <w:t>-to-Date</w:t>
      </w:r>
      <w:proofErr w:type="gramEnd"/>
      <w:r w:rsidR="00DE369D" w:rsidRPr="00193298">
        <w:t xml:space="preserve"> or Annual aggregations as well as a Rolling 12-month time series.</w:t>
      </w:r>
    </w:p>
    <w:p w14:paraId="016B0451" w14:textId="77777777" w:rsidR="003B2084" w:rsidRPr="00193298" w:rsidRDefault="003B2084" w:rsidP="00410F88">
      <w:pPr>
        <w:pStyle w:val="Heading2"/>
        <w:rPr>
          <w:rFonts w:cstheme="minorHAnsi"/>
        </w:rPr>
      </w:pPr>
      <w:bookmarkStart w:id="4" w:name="_Toc127529765"/>
      <w:bookmarkStart w:id="5" w:name="_Toc159181236"/>
      <w:r w:rsidRPr="00193298">
        <w:rPr>
          <w:rFonts w:cstheme="minorHAnsi"/>
        </w:rPr>
        <w:t>Quarterly</w:t>
      </w:r>
      <w:bookmarkEnd w:id="4"/>
      <w:bookmarkEnd w:id="5"/>
      <w:r w:rsidRPr="00193298">
        <w:rPr>
          <w:rFonts w:cstheme="minorHAnsi"/>
        </w:rPr>
        <w:t xml:space="preserve"> </w:t>
      </w:r>
    </w:p>
    <w:p w14:paraId="019144D6" w14:textId="77777777" w:rsidR="003B2084" w:rsidRPr="00193298" w:rsidRDefault="003B2084" w:rsidP="00D24622">
      <w:r w:rsidRPr="00193298">
        <w:t>Seasonal trends and the timing of public holidays impact quarterly statistics. Service patterns by quarter can vary from year to year. Care must be taken to ensure that quarterly statistics are compared with the same period in the previous year.</w:t>
      </w:r>
    </w:p>
    <w:p w14:paraId="3D0A7C11" w14:textId="77777777" w:rsidR="003B2084" w:rsidRPr="00193298" w:rsidRDefault="003B2084" w:rsidP="00410F88">
      <w:pPr>
        <w:pStyle w:val="Heading2"/>
        <w:rPr>
          <w:rFonts w:cstheme="minorHAnsi"/>
        </w:rPr>
      </w:pPr>
      <w:bookmarkStart w:id="6" w:name="_Toc127529766"/>
      <w:bookmarkStart w:id="7" w:name="_Toc159181237"/>
      <w:r w:rsidRPr="00193298">
        <w:rPr>
          <w:rFonts w:cstheme="minorHAnsi"/>
        </w:rPr>
        <w:t>Year-to-Date</w:t>
      </w:r>
      <w:bookmarkEnd w:id="6"/>
      <w:bookmarkEnd w:id="7"/>
    </w:p>
    <w:p w14:paraId="56467199" w14:textId="77777777" w:rsidR="003B2084" w:rsidRPr="00193298" w:rsidRDefault="003B2084" w:rsidP="00D24622">
      <w:r w:rsidRPr="00193298">
        <w:t xml:space="preserve">Year-to-date figures are reported each quarter with the period covered increasing by 3 months each quarter. </w:t>
      </w:r>
    </w:p>
    <w:p w14:paraId="6780EEDE" w14:textId="77777777" w:rsidR="003B2084" w:rsidRPr="00193298" w:rsidRDefault="003B2084" w:rsidP="00D24622">
      <w:r w:rsidRPr="00193298">
        <w:t>In the first quarter of the year, the year-to-date figures will be the same as the quarterly figures. In the final quarter of the year, it will be the same as the annual figures.</w:t>
      </w:r>
    </w:p>
    <w:p w14:paraId="5858B741" w14:textId="77777777" w:rsidR="003B2084" w:rsidRPr="00193298" w:rsidRDefault="00C63839" w:rsidP="00D24622">
      <w:r w:rsidRPr="00193298">
        <w:t>R</w:t>
      </w:r>
      <w:r w:rsidR="003B2084" w:rsidRPr="00193298">
        <w:t xml:space="preserve">eporting of year-to-date figures </w:t>
      </w:r>
      <w:r w:rsidRPr="00193298">
        <w:t xml:space="preserve">each quarter </w:t>
      </w:r>
      <w:r w:rsidR="003B2084" w:rsidRPr="00193298">
        <w:t xml:space="preserve">illuminates ongoing trends with the immediacy of the quarterly data, while not suffering the same volatility. While some care must be taken to ensure that year-to-date figures are compared with the same period in the previous year, they are easier to calculate and conceptually easier for many users to understand than the other common approach to seasonal data, that is, seasonally adjusted figures. </w:t>
      </w:r>
    </w:p>
    <w:p w14:paraId="5E7B1513" w14:textId="77777777" w:rsidR="003B2084" w:rsidRPr="00193298" w:rsidRDefault="003B2084" w:rsidP="00410F88">
      <w:pPr>
        <w:pStyle w:val="Heading2"/>
        <w:rPr>
          <w:rFonts w:cstheme="minorHAnsi"/>
        </w:rPr>
      </w:pPr>
      <w:bookmarkStart w:id="8" w:name="_Toc127529767"/>
      <w:bookmarkStart w:id="9" w:name="_Toc159181238"/>
      <w:r w:rsidRPr="00193298">
        <w:rPr>
          <w:rFonts w:cstheme="minorHAnsi"/>
        </w:rPr>
        <w:t>Annual Figures</w:t>
      </w:r>
      <w:bookmarkEnd w:id="8"/>
      <w:bookmarkEnd w:id="9"/>
    </w:p>
    <w:p w14:paraId="32E4594A" w14:textId="7C06453D" w:rsidR="003B2084" w:rsidRPr="00193298" w:rsidRDefault="003B2084" w:rsidP="00D24622">
      <w:r w:rsidRPr="00193298">
        <w:t xml:space="preserve">Annual figures provide a view of </w:t>
      </w:r>
      <w:r w:rsidR="0002511C" w:rsidRPr="00193298">
        <w:t>long-term</w:t>
      </w:r>
      <w:r w:rsidRPr="00193298">
        <w:t xml:space="preserve"> trends. As they are not influenced by seasonal patterns, they are much more stable than quarterly figures. </w:t>
      </w:r>
    </w:p>
    <w:p w14:paraId="7D42281F" w14:textId="77777777" w:rsidR="00DE369D" w:rsidRPr="00193298" w:rsidRDefault="00DE369D" w:rsidP="00D24622">
      <w:pPr>
        <w:pStyle w:val="Heading2"/>
      </w:pPr>
      <w:bookmarkStart w:id="10" w:name="_Toc127529768"/>
      <w:bookmarkStart w:id="11" w:name="_Toc159181239"/>
      <w:r w:rsidRPr="00193298">
        <w:lastRenderedPageBreak/>
        <w:t>Rolling 12-month Time Series Statistics</w:t>
      </w:r>
      <w:bookmarkEnd w:id="10"/>
      <w:bookmarkEnd w:id="11"/>
    </w:p>
    <w:p w14:paraId="6E0A2EF6" w14:textId="77777777" w:rsidR="00DE369D" w:rsidRPr="00193298" w:rsidRDefault="00DE369D" w:rsidP="00D24622">
      <w:r w:rsidRPr="00193298">
        <w:t xml:space="preserve">Reporting figures on a rolling 12-month basis allows for comparisons of trends between the same periods across years, while still correcting for seasonal variations and the timing of public holidays. Essentially, the new report uses the running total of the values of the last 12 months and highlights any trends in growth, flattening or decline. </w:t>
      </w:r>
    </w:p>
    <w:p w14:paraId="17B87D65" w14:textId="77777777" w:rsidR="00DE369D" w:rsidRPr="00193298" w:rsidRDefault="00DE369D" w:rsidP="00D24622">
      <w:r w:rsidRPr="00193298">
        <w:t xml:space="preserve">The rolling 12-month time series is available by Broad Type of Service by State and Modified Monash. This will facilitate trend monitoring for Medicare services, benefits, the bulk billing </w:t>
      </w:r>
      <w:proofErr w:type="gramStart"/>
      <w:r w:rsidRPr="00193298">
        <w:t>rate</w:t>
      </w:r>
      <w:proofErr w:type="gramEnd"/>
      <w:r w:rsidRPr="00193298">
        <w:t xml:space="preserve"> and average out-of-pocket costs for patient billed services. </w:t>
      </w:r>
    </w:p>
    <w:p w14:paraId="1BAF4012" w14:textId="77777777" w:rsidR="003B2084" w:rsidRPr="00193298" w:rsidRDefault="003B2084" w:rsidP="00410F88">
      <w:pPr>
        <w:pStyle w:val="Heading2"/>
        <w:rPr>
          <w:rFonts w:cstheme="minorHAnsi"/>
        </w:rPr>
      </w:pPr>
      <w:bookmarkStart w:id="12" w:name="_Toc127529769"/>
      <w:bookmarkStart w:id="13" w:name="_Toc159181240"/>
      <w:r w:rsidRPr="00193298">
        <w:rPr>
          <w:rFonts w:cstheme="minorHAnsi"/>
        </w:rPr>
        <w:t xml:space="preserve">Impact of </w:t>
      </w:r>
      <w:proofErr w:type="gramStart"/>
      <w:r w:rsidRPr="00193298">
        <w:rPr>
          <w:rFonts w:cstheme="minorHAnsi"/>
        </w:rPr>
        <w:t>Work Days</w:t>
      </w:r>
      <w:proofErr w:type="gramEnd"/>
      <w:r w:rsidRPr="00193298">
        <w:rPr>
          <w:rFonts w:cstheme="minorHAnsi"/>
        </w:rPr>
        <w:t xml:space="preserve"> on Interpretation</w:t>
      </w:r>
      <w:bookmarkEnd w:id="12"/>
      <w:bookmarkEnd w:id="13"/>
    </w:p>
    <w:p w14:paraId="2D39A4BE" w14:textId="77777777" w:rsidR="003B2084" w:rsidRPr="00193298" w:rsidRDefault="003B2084" w:rsidP="00D24622">
      <w:r w:rsidRPr="00193298">
        <w:t xml:space="preserve">Medicare data displays seasonal trends and </w:t>
      </w:r>
      <w:r w:rsidR="00C63839" w:rsidRPr="00193298">
        <w:t>is</w:t>
      </w:r>
      <w:r w:rsidRPr="00193298">
        <w:t xml:space="preserve"> influenced by the timing of weekends or public holidays and whether the holiday falls on a weekend or weekday.</w:t>
      </w:r>
    </w:p>
    <w:p w14:paraId="1771DB54" w14:textId="77777777" w:rsidR="003B2084" w:rsidRPr="00193298" w:rsidRDefault="003B2084" w:rsidP="00D24622">
      <w:r w:rsidRPr="00193298">
        <w:t xml:space="preserve">The timing of weekends or public holidays can make significant differences in the </w:t>
      </w:r>
      <w:proofErr w:type="gramStart"/>
      <w:r w:rsidRPr="00193298">
        <w:t>number</w:t>
      </w:r>
      <w:proofErr w:type="gramEnd"/>
      <w:r w:rsidRPr="00193298">
        <w:t xml:space="preserve"> of work days in the period and result in material differences to the number of services processed, even without underlying utilisation changes. </w:t>
      </w:r>
    </w:p>
    <w:p w14:paraId="05F7D1E1" w14:textId="77777777" w:rsidR="003B2084" w:rsidRPr="00193298" w:rsidRDefault="003B2084" w:rsidP="00D24622">
      <w:r w:rsidRPr="00193298">
        <w:t xml:space="preserve">Comparison to previous periods (calculation of % change) may be misleading unless the underlying figures are corrected for the </w:t>
      </w:r>
      <w:proofErr w:type="gramStart"/>
      <w:r w:rsidRPr="00193298">
        <w:t>number</w:t>
      </w:r>
      <w:proofErr w:type="gramEnd"/>
      <w:r w:rsidRPr="00193298">
        <w:t xml:space="preserve"> of work days in the reference periods. </w:t>
      </w:r>
    </w:p>
    <w:p w14:paraId="0F3B463C" w14:textId="77777777" w:rsidR="003B2084" w:rsidRPr="00193298" w:rsidRDefault="003B2084" w:rsidP="00D24622">
      <w:r w:rsidRPr="00193298">
        <w:t xml:space="preserve">Published Medicare Summary Statistics include unadjusted and adjusted % change for services and benefits. </w:t>
      </w:r>
    </w:p>
    <w:p w14:paraId="700226B0" w14:textId="77777777" w:rsidR="003B2084" w:rsidRPr="00193298" w:rsidRDefault="003B2084" w:rsidP="00D24622">
      <w:r w:rsidRPr="00193298">
        <w:t xml:space="preserve">The calculation for unadjusted and adjusted % change is provided below for reference. Medicare </w:t>
      </w:r>
      <w:proofErr w:type="gramStart"/>
      <w:r w:rsidRPr="00193298">
        <w:t>Work Days</w:t>
      </w:r>
      <w:proofErr w:type="gramEnd"/>
      <w:r w:rsidRPr="00193298">
        <w:t xml:space="preserve"> by month and state are published by Services Australia. </w:t>
      </w:r>
    </w:p>
    <w:p w14:paraId="1D93254D" w14:textId="77777777" w:rsidR="003B2084" w:rsidRPr="00193298" w:rsidRDefault="003B2084" w:rsidP="00D24622">
      <w:r w:rsidRPr="00193298">
        <w:t xml:space="preserve">Data Source: Services Australia, </w:t>
      </w:r>
      <w:hyperlink r:id="rId8" w:history="1">
        <w:r w:rsidRPr="00193298">
          <w:rPr>
            <w:rStyle w:val="Hyperlink"/>
          </w:rPr>
          <w:t>Medicare Australia work days</w:t>
        </w:r>
      </w:hyperlink>
    </w:p>
    <w:p w14:paraId="310ABC16" w14:textId="77777777" w:rsidR="003B2084" w:rsidRPr="00193298" w:rsidRDefault="003B2084" w:rsidP="00410F88">
      <w:pPr>
        <w:pStyle w:val="Heading2"/>
        <w:rPr>
          <w:rFonts w:cstheme="minorHAnsi"/>
        </w:rPr>
      </w:pPr>
      <w:bookmarkStart w:id="14" w:name="_Toc127529770"/>
      <w:bookmarkStart w:id="15" w:name="_Toc159181241"/>
      <w:r w:rsidRPr="00193298">
        <w:rPr>
          <w:rFonts w:cstheme="minorHAnsi"/>
        </w:rPr>
        <w:t>Calculation of % Change between two periods, corrected for working days</w:t>
      </w:r>
      <w:bookmarkEnd w:id="14"/>
      <w:bookmarkEnd w:id="15"/>
    </w:p>
    <w:p w14:paraId="03DE6BEA" w14:textId="77777777" w:rsidR="003B2084" w:rsidRPr="00193298" w:rsidRDefault="003B2084" w:rsidP="00D24622">
      <w:r w:rsidRPr="00193298">
        <w:t xml:space="preserve">The same calculation can be used for any two periods of interest. </w:t>
      </w:r>
    </w:p>
    <w:p w14:paraId="06DEB445" w14:textId="77777777" w:rsidR="003B2084" w:rsidRPr="00193298" w:rsidRDefault="003B2084" w:rsidP="00D24622">
      <w:r w:rsidRPr="00193298">
        <w:t>The example refers to the calculation of % change between the reference period (</w:t>
      </w:r>
      <w:proofErr w:type="gramStart"/>
      <w:r w:rsidRPr="00193298">
        <w:t>i.e.</w:t>
      </w:r>
      <w:proofErr w:type="gramEnd"/>
      <w:r w:rsidRPr="00193298">
        <w:t xml:space="preserve"> quarter, year-to-date or financial year) in the current year (i.e. 2020) compared to the same reference period in the previous year (i.e. 2019). </w:t>
      </w:r>
    </w:p>
    <w:p w14:paraId="706F86C5" w14:textId="5174CB9B" w:rsidR="00C140B4" w:rsidRPr="00193298" w:rsidRDefault="003B2084" w:rsidP="00D24622">
      <w:r w:rsidRPr="00193298">
        <w:t>The same calculation can be used for % change in benefits.</w:t>
      </w:r>
    </w:p>
    <w:p w14:paraId="08B3C836" w14:textId="2227546F" w:rsidR="00C958FB" w:rsidRPr="00193298" w:rsidRDefault="00C958FB" w:rsidP="00D24622">
      <w:r w:rsidRPr="00193298">
        <w:rPr>
          <w:noProof/>
        </w:rPr>
        <mc:AlternateContent>
          <mc:Choice Requires="wps">
            <w:drawing>
              <wp:inline distT="0" distB="0" distL="0" distR="0" wp14:anchorId="59DED946" wp14:editId="40134925">
                <wp:extent cx="4000500" cy="923925"/>
                <wp:effectExtent l="0" t="0" r="0" b="9525"/>
                <wp:docPr id="6" name="Text Box 6" descr="&quot;% Change&quot;=((〖Total Services〗^(p yr i)/〖Wking Days〗^(p yr i) )-(〖Total Services〗^(p yr i-1)/〖Wking Days〗^(p yr i-1) ))/((〖Total Services〗^(p yr i-1)/〖Wking Days〗^(p yr i-1) ) )"/>
                <wp:cNvGraphicFramePr/>
                <a:graphic xmlns:a="http://schemas.openxmlformats.org/drawingml/2006/main">
                  <a:graphicData uri="http://schemas.microsoft.com/office/word/2010/wordprocessingShape">
                    <wps:wsp>
                      <wps:cNvSpPr txBox="1"/>
                      <wps:spPr>
                        <a:xfrm>
                          <a:off x="0" y="0"/>
                          <a:ext cx="4000500" cy="923925"/>
                        </a:xfrm>
                        <a:prstGeom prst="rect">
                          <a:avLst/>
                        </a:prstGeom>
                        <a:solidFill>
                          <a:srgbClr val="EAEDF2"/>
                        </a:solidFill>
                        <a:ln w="6350">
                          <a:noFill/>
                        </a:ln>
                      </wps:spPr>
                      <wps:txbx>
                        <w:txbxContent>
                          <w:p w14:paraId="3A90732F" w14:textId="622611C4" w:rsidR="00C958FB" w:rsidRDefault="00C958FB" w:rsidP="00D24622">
                            <m:oMathPara>
                              <m:oMath>
                                <m:r>
                                  <m:rPr>
                                    <m:nor/>
                                  </m:rPr>
                                  <m:t>% Change</m:t>
                                </m:r>
                                <m:r>
                                  <m:rPr>
                                    <m:sty m:val="p"/>
                                  </m:rPr>
                                  <w:rPr>
                                    <w:rFonts w:ascii="Cambria Math" w:hAnsi="Cambria Math"/>
                                  </w:rPr>
                                  <m:t>=</m:t>
                                </m:r>
                                <m:f>
                                  <m:fPr>
                                    <m:ctrlPr>
                                      <w:rPr>
                                        <w:rFonts w:ascii="Cambria Math" w:hAnsi="Cambria Math"/>
                                      </w:rPr>
                                    </m:ctrlPr>
                                  </m:fPr>
                                  <m:num>
                                    <m:d>
                                      <m:dPr>
                                        <m:ctrlPr>
                                          <w:rPr>
                                            <w:rFonts w:ascii="Cambria Math" w:hAnsi="Cambria Math"/>
                                          </w:rPr>
                                        </m:ctrlPr>
                                      </m:dPr>
                                      <m:e>
                                        <m:f>
                                          <m:fPr>
                                            <m:ctrlPr>
                                              <w:rPr>
                                                <w:rFonts w:ascii="Cambria Math" w:hAnsi="Cambria Math"/>
                                              </w:rPr>
                                            </m:ctrlPr>
                                          </m:fPr>
                                          <m:num>
                                            <m:sSup>
                                              <m:sSupPr>
                                                <m:ctrlPr>
                                                  <w:rPr>
                                                    <w:rFonts w:ascii="Cambria Math" w:hAnsi="Cambria Math"/>
                                                  </w:rPr>
                                                </m:ctrlPr>
                                              </m:sSupPr>
                                              <m:e>
                                                <m:r>
                                                  <w:rPr>
                                                    <w:rFonts w:ascii="Cambria Math" w:hAnsi="Cambria Math"/>
                                                  </w:rPr>
                                                  <m:t>Total</m:t>
                                                </m:r>
                                                <m:r>
                                                  <m:rPr>
                                                    <m:sty m:val="p"/>
                                                  </m:rPr>
                                                  <w:rPr>
                                                    <w:rFonts w:ascii="Cambria Math" w:hAnsi="Cambria Math"/>
                                                  </w:rPr>
                                                  <m:t xml:space="preserve"> </m:t>
                                                </m:r>
                                                <m:r>
                                                  <w:rPr>
                                                    <w:rFonts w:ascii="Cambria Math" w:hAnsi="Cambria Math"/>
                                                  </w:rPr>
                                                  <m:t>Services</m:t>
                                                </m:r>
                                              </m:e>
                                              <m:sup>
                                                <m:r>
                                                  <w:rPr>
                                                    <w:rFonts w:ascii="Cambria Math" w:hAnsi="Cambria Math"/>
                                                  </w:rPr>
                                                  <m:t>p</m:t>
                                                </m:r>
                                                <m:r>
                                                  <m:rPr>
                                                    <m:sty m:val="p"/>
                                                  </m:rPr>
                                                  <w:rPr>
                                                    <w:rFonts w:ascii="Cambria Math" w:hAnsi="Cambria Math"/>
                                                  </w:rPr>
                                                  <m:t xml:space="preserve"> </m:t>
                                                </m:r>
                                                <m:r>
                                                  <w:rPr>
                                                    <w:rFonts w:ascii="Cambria Math" w:hAnsi="Cambria Math"/>
                                                  </w:rPr>
                                                  <m:t>yr</m:t>
                                                </m:r>
                                                <m:r>
                                                  <m:rPr>
                                                    <m:sty m:val="p"/>
                                                  </m:rPr>
                                                  <w:rPr>
                                                    <w:rFonts w:ascii="Cambria Math" w:hAnsi="Cambria Math"/>
                                                  </w:rPr>
                                                  <m:t xml:space="preserve"> </m:t>
                                                </m:r>
                                                <m:r>
                                                  <w:rPr>
                                                    <w:rFonts w:ascii="Cambria Math" w:hAnsi="Cambria Math"/>
                                                  </w:rPr>
                                                  <m:t>i</m:t>
                                                </m:r>
                                              </m:sup>
                                            </m:sSup>
                                          </m:num>
                                          <m:den>
                                            <m:sSup>
                                              <m:sSupPr>
                                                <m:ctrlPr>
                                                  <w:rPr>
                                                    <w:rFonts w:ascii="Cambria Math" w:hAnsi="Cambria Math"/>
                                                  </w:rPr>
                                                </m:ctrlPr>
                                              </m:sSupPr>
                                              <m:e>
                                                <m:r>
                                                  <w:rPr>
                                                    <w:rFonts w:ascii="Cambria Math" w:hAnsi="Cambria Math"/>
                                                  </w:rPr>
                                                  <m:t>Wking</m:t>
                                                </m:r>
                                                <m:r>
                                                  <m:rPr>
                                                    <m:sty m:val="p"/>
                                                  </m:rPr>
                                                  <w:rPr>
                                                    <w:rFonts w:ascii="Cambria Math" w:hAnsi="Cambria Math"/>
                                                  </w:rPr>
                                                  <m:t xml:space="preserve"> </m:t>
                                                </m:r>
                                                <m:r>
                                                  <w:rPr>
                                                    <w:rFonts w:ascii="Cambria Math" w:hAnsi="Cambria Math"/>
                                                  </w:rPr>
                                                  <m:t>Days</m:t>
                                                </m:r>
                                              </m:e>
                                              <m:sup>
                                                <m:r>
                                                  <w:rPr>
                                                    <w:rFonts w:ascii="Cambria Math" w:hAnsi="Cambria Math"/>
                                                  </w:rPr>
                                                  <m:t>p</m:t>
                                                </m:r>
                                                <m:r>
                                                  <m:rPr>
                                                    <m:sty m:val="p"/>
                                                  </m:rPr>
                                                  <w:rPr>
                                                    <w:rFonts w:ascii="Cambria Math" w:hAnsi="Cambria Math"/>
                                                  </w:rPr>
                                                  <m:t xml:space="preserve"> </m:t>
                                                </m:r>
                                                <m:r>
                                                  <w:rPr>
                                                    <w:rFonts w:ascii="Cambria Math" w:hAnsi="Cambria Math"/>
                                                  </w:rPr>
                                                  <m:t>yr</m:t>
                                                </m:r>
                                                <m:r>
                                                  <m:rPr>
                                                    <m:sty m:val="p"/>
                                                  </m:rPr>
                                                  <w:rPr>
                                                    <w:rFonts w:ascii="Cambria Math" w:hAnsi="Cambria Math"/>
                                                  </w:rPr>
                                                  <m:t xml:space="preserve"> </m:t>
                                                </m:r>
                                                <m:r>
                                                  <w:rPr>
                                                    <w:rFonts w:ascii="Cambria Math" w:hAnsi="Cambria Math"/>
                                                  </w:rPr>
                                                  <m:t>i</m:t>
                                                </m:r>
                                              </m:sup>
                                            </m:sSup>
                                          </m:den>
                                        </m:f>
                                      </m:e>
                                    </m:d>
                                    <m:r>
                                      <m:rPr>
                                        <m:sty m:val="p"/>
                                      </m:rPr>
                                      <w:rPr>
                                        <w:rFonts w:ascii="Cambria Math" w:hAnsi="Cambria Math"/>
                                      </w:rPr>
                                      <m:t>-</m:t>
                                    </m:r>
                                    <m:d>
                                      <m:dPr>
                                        <m:ctrlPr>
                                          <w:rPr>
                                            <w:rFonts w:ascii="Cambria Math" w:hAnsi="Cambria Math"/>
                                          </w:rPr>
                                        </m:ctrlPr>
                                      </m:dPr>
                                      <m:e>
                                        <m:f>
                                          <m:fPr>
                                            <m:ctrlPr>
                                              <w:rPr>
                                                <w:rFonts w:ascii="Cambria Math" w:hAnsi="Cambria Math"/>
                                              </w:rPr>
                                            </m:ctrlPr>
                                          </m:fPr>
                                          <m:num>
                                            <m:sSup>
                                              <m:sSupPr>
                                                <m:ctrlPr>
                                                  <w:rPr>
                                                    <w:rFonts w:ascii="Cambria Math" w:hAnsi="Cambria Math"/>
                                                  </w:rPr>
                                                </m:ctrlPr>
                                              </m:sSupPr>
                                              <m:e>
                                                <m:r>
                                                  <w:rPr>
                                                    <w:rFonts w:ascii="Cambria Math" w:hAnsi="Cambria Math"/>
                                                  </w:rPr>
                                                  <m:t>Total</m:t>
                                                </m:r>
                                                <m:r>
                                                  <m:rPr>
                                                    <m:sty m:val="p"/>
                                                  </m:rPr>
                                                  <w:rPr>
                                                    <w:rFonts w:ascii="Cambria Math" w:hAnsi="Cambria Math"/>
                                                  </w:rPr>
                                                  <m:t xml:space="preserve"> </m:t>
                                                </m:r>
                                                <m:r>
                                                  <w:rPr>
                                                    <w:rFonts w:ascii="Cambria Math" w:hAnsi="Cambria Math"/>
                                                  </w:rPr>
                                                  <m:t>Services</m:t>
                                                </m:r>
                                              </m:e>
                                              <m:sup>
                                                <m:r>
                                                  <w:rPr>
                                                    <w:rFonts w:ascii="Cambria Math" w:hAnsi="Cambria Math"/>
                                                  </w:rPr>
                                                  <m:t>p</m:t>
                                                </m:r>
                                                <m:r>
                                                  <m:rPr>
                                                    <m:sty m:val="p"/>
                                                  </m:rPr>
                                                  <w:rPr>
                                                    <w:rFonts w:ascii="Cambria Math" w:hAnsi="Cambria Math"/>
                                                  </w:rPr>
                                                  <m:t xml:space="preserve"> </m:t>
                                                </m:r>
                                                <m:r>
                                                  <w:rPr>
                                                    <w:rFonts w:ascii="Cambria Math" w:hAnsi="Cambria Math"/>
                                                  </w:rPr>
                                                  <m:t>yr</m:t>
                                                </m:r>
                                                <m:r>
                                                  <m:rPr>
                                                    <m:sty m:val="p"/>
                                                  </m:rPr>
                                                  <w:rPr>
                                                    <w:rFonts w:ascii="Cambria Math" w:hAnsi="Cambria Math"/>
                                                  </w:rPr>
                                                  <m:t xml:space="preserve"> </m:t>
                                                </m:r>
                                                <m:r>
                                                  <w:rPr>
                                                    <w:rFonts w:ascii="Cambria Math" w:hAnsi="Cambria Math"/>
                                                  </w:rPr>
                                                  <m:t>i</m:t>
                                                </m:r>
                                                <m:r>
                                                  <m:rPr>
                                                    <m:sty m:val="p"/>
                                                  </m:rPr>
                                                  <w:rPr>
                                                    <w:rFonts w:ascii="Cambria Math" w:hAnsi="Cambria Math"/>
                                                  </w:rPr>
                                                  <m:t>-1</m:t>
                                                </m:r>
                                              </m:sup>
                                            </m:sSup>
                                          </m:num>
                                          <m:den>
                                            <m:sSup>
                                              <m:sSupPr>
                                                <m:ctrlPr>
                                                  <w:rPr>
                                                    <w:rFonts w:ascii="Cambria Math" w:hAnsi="Cambria Math"/>
                                                  </w:rPr>
                                                </m:ctrlPr>
                                              </m:sSupPr>
                                              <m:e>
                                                <m:r>
                                                  <w:rPr>
                                                    <w:rFonts w:ascii="Cambria Math" w:hAnsi="Cambria Math"/>
                                                  </w:rPr>
                                                  <m:t>Wking</m:t>
                                                </m:r>
                                                <m:r>
                                                  <m:rPr>
                                                    <m:sty m:val="p"/>
                                                  </m:rPr>
                                                  <w:rPr>
                                                    <w:rFonts w:ascii="Cambria Math" w:hAnsi="Cambria Math"/>
                                                  </w:rPr>
                                                  <m:t xml:space="preserve"> </m:t>
                                                </m:r>
                                                <m:r>
                                                  <w:rPr>
                                                    <w:rFonts w:ascii="Cambria Math" w:hAnsi="Cambria Math"/>
                                                  </w:rPr>
                                                  <m:t>Days</m:t>
                                                </m:r>
                                              </m:e>
                                              <m:sup>
                                                <m:r>
                                                  <w:rPr>
                                                    <w:rFonts w:ascii="Cambria Math" w:hAnsi="Cambria Math"/>
                                                  </w:rPr>
                                                  <m:t>p</m:t>
                                                </m:r>
                                                <m:r>
                                                  <m:rPr>
                                                    <m:sty m:val="p"/>
                                                  </m:rPr>
                                                  <w:rPr>
                                                    <w:rFonts w:ascii="Cambria Math" w:hAnsi="Cambria Math"/>
                                                  </w:rPr>
                                                  <m:t xml:space="preserve"> </m:t>
                                                </m:r>
                                                <m:r>
                                                  <w:rPr>
                                                    <w:rFonts w:ascii="Cambria Math" w:hAnsi="Cambria Math"/>
                                                  </w:rPr>
                                                  <m:t>yr</m:t>
                                                </m:r>
                                                <m:r>
                                                  <m:rPr>
                                                    <m:sty m:val="p"/>
                                                  </m:rPr>
                                                  <w:rPr>
                                                    <w:rFonts w:ascii="Cambria Math" w:hAnsi="Cambria Math"/>
                                                  </w:rPr>
                                                  <m:t xml:space="preserve"> </m:t>
                                                </m:r>
                                                <m:r>
                                                  <w:rPr>
                                                    <w:rFonts w:ascii="Cambria Math" w:hAnsi="Cambria Math"/>
                                                  </w:rPr>
                                                  <m:t>i</m:t>
                                                </m:r>
                                                <m:r>
                                                  <m:rPr>
                                                    <m:sty m:val="p"/>
                                                  </m:rPr>
                                                  <w:rPr>
                                                    <w:rFonts w:ascii="Cambria Math" w:hAnsi="Cambria Math"/>
                                                  </w:rPr>
                                                  <m:t>-1</m:t>
                                                </m:r>
                                              </m:sup>
                                            </m:sSup>
                                          </m:den>
                                        </m:f>
                                      </m:e>
                                    </m:d>
                                  </m:num>
                                  <m:den>
                                    <m:d>
                                      <m:dPr>
                                        <m:ctrlPr>
                                          <w:rPr>
                                            <w:rFonts w:ascii="Cambria Math" w:hAnsi="Cambria Math"/>
                                          </w:rPr>
                                        </m:ctrlPr>
                                      </m:dPr>
                                      <m:e>
                                        <m:f>
                                          <m:fPr>
                                            <m:ctrlPr>
                                              <w:rPr>
                                                <w:rFonts w:ascii="Cambria Math" w:hAnsi="Cambria Math"/>
                                              </w:rPr>
                                            </m:ctrlPr>
                                          </m:fPr>
                                          <m:num>
                                            <m:sSup>
                                              <m:sSupPr>
                                                <m:ctrlPr>
                                                  <w:rPr>
                                                    <w:rFonts w:ascii="Cambria Math" w:hAnsi="Cambria Math"/>
                                                  </w:rPr>
                                                </m:ctrlPr>
                                              </m:sSupPr>
                                              <m:e>
                                                <m:r>
                                                  <w:rPr>
                                                    <w:rFonts w:ascii="Cambria Math" w:hAnsi="Cambria Math"/>
                                                  </w:rPr>
                                                  <m:t>Total</m:t>
                                                </m:r>
                                                <m:r>
                                                  <m:rPr>
                                                    <m:sty m:val="p"/>
                                                  </m:rPr>
                                                  <w:rPr>
                                                    <w:rFonts w:ascii="Cambria Math" w:hAnsi="Cambria Math"/>
                                                  </w:rPr>
                                                  <m:t xml:space="preserve"> </m:t>
                                                </m:r>
                                                <m:r>
                                                  <w:rPr>
                                                    <w:rFonts w:ascii="Cambria Math" w:hAnsi="Cambria Math"/>
                                                  </w:rPr>
                                                  <m:t>Services</m:t>
                                                </m:r>
                                              </m:e>
                                              <m:sup>
                                                <m:r>
                                                  <w:rPr>
                                                    <w:rFonts w:ascii="Cambria Math" w:hAnsi="Cambria Math"/>
                                                  </w:rPr>
                                                  <m:t>p</m:t>
                                                </m:r>
                                                <m:r>
                                                  <m:rPr>
                                                    <m:sty m:val="p"/>
                                                  </m:rPr>
                                                  <w:rPr>
                                                    <w:rFonts w:ascii="Cambria Math" w:hAnsi="Cambria Math"/>
                                                  </w:rPr>
                                                  <m:t xml:space="preserve"> </m:t>
                                                </m:r>
                                                <m:r>
                                                  <w:rPr>
                                                    <w:rFonts w:ascii="Cambria Math" w:hAnsi="Cambria Math"/>
                                                  </w:rPr>
                                                  <m:t>yr</m:t>
                                                </m:r>
                                                <m:r>
                                                  <m:rPr>
                                                    <m:sty m:val="p"/>
                                                  </m:rPr>
                                                  <w:rPr>
                                                    <w:rFonts w:ascii="Cambria Math" w:hAnsi="Cambria Math"/>
                                                  </w:rPr>
                                                  <m:t xml:space="preserve"> </m:t>
                                                </m:r>
                                                <m:r>
                                                  <w:rPr>
                                                    <w:rFonts w:ascii="Cambria Math" w:hAnsi="Cambria Math"/>
                                                  </w:rPr>
                                                  <m:t>i</m:t>
                                                </m:r>
                                                <m:r>
                                                  <m:rPr>
                                                    <m:sty m:val="p"/>
                                                  </m:rPr>
                                                  <w:rPr>
                                                    <w:rFonts w:ascii="Cambria Math" w:hAnsi="Cambria Math"/>
                                                  </w:rPr>
                                                  <m:t>-1</m:t>
                                                </m:r>
                                              </m:sup>
                                            </m:sSup>
                                          </m:num>
                                          <m:den>
                                            <m:sSup>
                                              <m:sSupPr>
                                                <m:ctrlPr>
                                                  <w:rPr>
                                                    <w:rFonts w:ascii="Cambria Math" w:hAnsi="Cambria Math"/>
                                                  </w:rPr>
                                                </m:ctrlPr>
                                              </m:sSupPr>
                                              <m:e>
                                                <m:r>
                                                  <w:rPr>
                                                    <w:rFonts w:ascii="Cambria Math" w:hAnsi="Cambria Math"/>
                                                  </w:rPr>
                                                  <m:t>Wking</m:t>
                                                </m:r>
                                                <m:r>
                                                  <m:rPr>
                                                    <m:sty m:val="p"/>
                                                  </m:rPr>
                                                  <w:rPr>
                                                    <w:rFonts w:ascii="Cambria Math" w:hAnsi="Cambria Math"/>
                                                  </w:rPr>
                                                  <m:t xml:space="preserve"> </m:t>
                                                </m:r>
                                                <m:r>
                                                  <w:rPr>
                                                    <w:rFonts w:ascii="Cambria Math" w:hAnsi="Cambria Math"/>
                                                  </w:rPr>
                                                  <m:t>Days</m:t>
                                                </m:r>
                                              </m:e>
                                              <m:sup>
                                                <m:r>
                                                  <w:rPr>
                                                    <w:rFonts w:ascii="Cambria Math" w:hAnsi="Cambria Math"/>
                                                  </w:rPr>
                                                  <m:t>p</m:t>
                                                </m:r>
                                                <m:r>
                                                  <m:rPr>
                                                    <m:sty m:val="p"/>
                                                  </m:rPr>
                                                  <w:rPr>
                                                    <w:rFonts w:ascii="Cambria Math" w:hAnsi="Cambria Math"/>
                                                  </w:rPr>
                                                  <m:t xml:space="preserve"> </m:t>
                                                </m:r>
                                                <m:r>
                                                  <w:rPr>
                                                    <w:rFonts w:ascii="Cambria Math" w:hAnsi="Cambria Math"/>
                                                  </w:rPr>
                                                  <m:t>yr</m:t>
                                                </m:r>
                                                <m:r>
                                                  <m:rPr>
                                                    <m:sty m:val="p"/>
                                                  </m:rPr>
                                                  <w:rPr>
                                                    <w:rFonts w:ascii="Cambria Math" w:hAnsi="Cambria Math"/>
                                                  </w:rPr>
                                                  <m:t xml:space="preserve"> </m:t>
                                                </m:r>
                                                <m:r>
                                                  <w:rPr>
                                                    <w:rFonts w:ascii="Cambria Math" w:hAnsi="Cambria Math"/>
                                                  </w:rPr>
                                                  <m:t>i</m:t>
                                                </m:r>
                                                <m:r>
                                                  <m:rPr>
                                                    <m:sty m:val="p"/>
                                                  </m:rPr>
                                                  <w:rPr>
                                                    <w:rFonts w:ascii="Cambria Math" w:hAnsi="Cambria Math"/>
                                                  </w:rPr>
                                                  <m:t>-1</m:t>
                                                </m:r>
                                              </m:sup>
                                            </m:sSup>
                                          </m:den>
                                        </m:f>
                                      </m:e>
                                    </m:d>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9DED946" id="_x0000_t202" coordsize="21600,21600" o:spt="202" path="m,l,21600r21600,l21600,xe">
                <v:stroke joinstyle="miter"/>
                <v:path gradientshapeok="t" o:connecttype="rect"/>
              </v:shapetype>
              <v:shape id="Text Box 6" o:spid="_x0000_s1026" type="#_x0000_t202" alt="&quot;% Change&quot;=((〖Total Services〗^(p yr i)/〖Wking Days〗^(p yr i) )-(〖Total Services〗^(p yr i-1)/〖Wking Days〗^(p yr i-1) ))/((〖Total Services〗^(p yr i-1)/〖Wking Days〗^(p yr i-1) ) )" style="width:315pt;height:7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" fillcolor="#eaedf2" stroked="f" strokeweight=".5pt">
                <v:textbox>
                  <w:txbxContent>
                    <w:p w14:paraId="3A90732F" w14:textId="622611C4" w:rsidR="00C958FB" w:rsidRDefault="00C958FB" w:rsidP="00D24622">
                      <m:oMathPara>
                        <m:oMath>
                          <m:r>
                            <m:rPr>
                              <m:nor/>
                            </m:rPr>
                            <m:t>% Change</m:t>
                          </m:r>
                          <m:r>
                            <m:rPr>
                              <m:sty m:val="p"/>
                            </m:rPr>
                            <w:rPr>
                              <w:rFonts w:ascii="Cambria Math" w:hAnsi="Cambria Math"/>
                            </w:rPr>
                            <m:t>=</m:t>
                          </m:r>
                          <m:f>
                            <m:fPr>
                              <m:ctrlPr>
                                <w:rPr>
                                  <w:rFonts w:ascii="Cambria Math" w:hAnsi="Cambria Math"/>
                                </w:rPr>
                              </m:ctrlPr>
                            </m:fPr>
                            <m:num>
                              <m:d>
                                <m:dPr>
                                  <m:ctrlPr>
                                    <w:rPr>
                                      <w:rFonts w:ascii="Cambria Math" w:hAnsi="Cambria Math"/>
                                    </w:rPr>
                                  </m:ctrlPr>
                                </m:dPr>
                                <m:e>
                                  <m:f>
                                    <m:fPr>
                                      <m:ctrlPr>
                                        <w:rPr>
                                          <w:rFonts w:ascii="Cambria Math" w:hAnsi="Cambria Math"/>
                                        </w:rPr>
                                      </m:ctrlPr>
                                    </m:fPr>
                                    <m:num>
                                      <m:sSup>
                                        <m:sSupPr>
                                          <m:ctrlPr>
                                            <w:rPr>
                                              <w:rFonts w:ascii="Cambria Math" w:hAnsi="Cambria Math"/>
                                            </w:rPr>
                                          </m:ctrlPr>
                                        </m:sSupPr>
                                        <m:e>
                                          <m:r>
                                            <w:rPr>
                                              <w:rFonts w:ascii="Cambria Math" w:hAnsi="Cambria Math"/>
                                            </w:rPr>
                                            <m:t>Total</m:t>
                                          </m:r>
                                          <m:r>
                                            <m:rPr>
                                              <m:sty m:val="p"/>
                                            </m:rPr>
                                            <w:rPr>
                                              <w:rFonts w:ascii="Cambria Math" w:hAnsi="Cambria Math"/>
                                            </w:rPr>
                                            <m:t xml:space="preserve"> </m:t>
                                          </m:r>
                                          <m:r>
                                            <w:rPr>
                                              <w:rFonts w:ascii="Cambria Math" w:hAnsi="Cambria Math"/>
                                            </w:rPr>
                                            <m:t>Services</m:t>
                                          </m:r>
                                        </m:e>
                                        <m:sup>
                                          <m:r>
                                            <w:rPr>
                                              <w:rFonts w:ascii="Cambria Math" w:hAnsi="Cambria Math"/>
                                            </w:rPr>
                                            <m:t>p</m:t>
                                          </m:r>
                                          <m:r>
                                            <m:rPr>
                                              <m:sty m:val="p"/>
                                            </m:rPr>
                                            <w:rPr>
                                              <w:rFonts w:ascii="Cambria Math" w:hAnsi="Cambria Math"/>
                                            </w:rPr>
                                            <m:t xml:space="preserve"> </m:t>
                                          </m:r>
                                          <m:r>
                                            <w:rPr>
                                              <w:rFonts w:ascii="Cambria Math" w:hAnsi="Cambria Math"/>
                                            </w:rPr>
                                            <m:t>yr</m:t>
                                          </m:r>
                                          <m:r>
                                            <m:rPr>
                                              <m:sty m:val="p"/>
                                            </m:rPr>
                                            <w:rPr>
                                              <w:rFonts w:ascii="Cambria Math" w:hAnsi="Cambria Math"/>
                                            </w:rPr>
                                            <m:t xml:space="preserve"> </m:t>
                                          </m:r>
                                          <m:r>
                                            <w:rPr>
                                              <w:rFonts w:ascii="Cambria Math" w:hAnsi="Cambria Math"/>
                                            </w:rPr>
                                            <m:t>i</m:t>
                                          </m:r>
                                        </m:sup>
                                      </m:sSup>
                                    </m:num>
                                    <m:den>
                                      <m:sSup>
                                        <m:sSupPr>
                                          <m:ctrlPr>
                                            <w:rPr>
                                              <w:rFonts w:ascii="Cambria Math" w:hAnsi="Cambria Math"/>
                                            </w:rPr>
                                          </m:ctrlPr>
                                        </m:sSupPr>
                                        <m:e>
                                          <m:r>
                                            <w:rPr>
                                              <w:rFonts w:ascii="Cambria Math" w:hAnsi="Cambria Math"/>
                                            </w:rPr>
                                            <m:t>Wking</m:t>
                                          </m:r>
                                          <m:r>
                                            <m:rPr>
                                              <m:sty m:val="p"/>
                                            </m:rPr>
                                            <w:rPr>
                                              <w:rFonts w:ascii="Cambria Math" w:hAnsi="Cambria Math"/>
                                            </w:rPr>
                                            <m:t xml:space="preserve"> </m:t>
                                          </m:r>
                                          <m:r>
                                            <w:rPr>
                                              <w:rFonts w:ascii="Cambria Math" w:hAnsi="Cambria Math"/>
                                            </w:rPr>
                                            <m:t>Days</m:t>
                                          </m:r>
                                        </m:e>
                                        <m:sup>
                                          <m:r>
                                            <w:rPr>
                                              <w:rFonts w:ascii="Cambria Math" w:hAnsi="Cambria Math"/>
                                            </w:rPr>
                                            <m:t>p</m:t>
                                          </m:r>
                                          <m:r>
                                            <m:rPr>
                                              <m:sty m:val="p"/>
                                            </m:rPr>
                                            <w:rPr>
                                              <w:rFonts w:ascii="Cambria Math" w:hAnsi="Cambria Math"/>
                                            </w:rPr>
                                            <m:t xml:space="preserve"> </m:t>
                                          </m:r>
                                          <m:r>
                                            <w:rPr>
                                              <w:rFonts w:ascii="Cambria Math" w:hAnsi="Cambria Math"/>
                                            </w:rPr>
                                            <m:t>yr</m:t>
                                          </m:r>
                                          <m:r>
                                            <m:rPr>
                                              <m:sty m:val="p"/>
                                            </m:rPr>
                                            <w:rPr>
                                              <w:rFonts w:ascii="Cambria Math" w:hAnsi="Cambria Math"/>
                                            </w:rPr>
                                            <m:t xml:space="preserve"> </m:t>
                                          </m:r>
                                          <m:r>
                                            <w:rPr>
                                              <w:rFonts w:ascii="Cambria Math" w:hAnsi="Cambria Math"/>
                                            </w:rPr>
                                            <m:t>i</m:t>
                                          </m:r>
                                        </m:sup>
                                      </m:sSup>
                                    </m:den>
                                  </m:f>
                                </m:e>
                              </m:d>
                              <m:r>
                                <m:rPr>
                                  <m:sty m:val="p"/>
                                </m:rPr>
                                <w:rPr>
                                  <w:rFonts w:ascii="Cambria Math" w:hAnsi="Cambria Math"/>
                                </w:rPr>
                                <m:t>-</m:t>
                              </m:r>
                              <m:d>
                                <m:dPr>
                                  <m:ctrlPr>
                                    <w:rPr>
                                      <w:rFonts w:ascii="Cambria Math" w:hAnsi="Cambria Math"/>
                                    </w:rPr>
                                  </m:ctrlPr>
                                </m:dPr>
                                <m:e>
                                  <m:f>
                                    <m:fPr>
                                      <m:ctrlPr>
                                        <w:rPr>
                                          <w:rFonts w:ascii="Cambria Math" w:hAnsi="Cambria Math"/>
                                        </w:rPr>
                                      </m:ctrlPr>
                                    </m:fPr>
                                    <m:num>
                                      <m:sSup>
                                        <m:sSupPr>
                                          <m:ctrlPr>
                                            <w:rPr>
                                              <w:rFonts w:ascii="Cambria Math" w:hAnsi="Cambria Math"/>
                                            </w:rPr>
                                          </m:ctrlPr>
                                        </m:sSupPr>
                                        <m:e>
                                          <m:r>
                                            <w:rPr>
                                              <w:rFonts w:ascii="Cambria Math" w:hAnsi="Cambria Math"/>
                                            </w:rPr>
                                            <m:t>Total</m:t>
                                          </m:r>
                                          <m:r>
                                            <m:rPr>
                                              <m:sty m:val="p"/>
                                            </m:rPr>
                                            <w:rPr>
                                              <w:rFonts w:ascii="Cambria Math" w:hAnsi="Cambria Math"/>
                                            </w:rPr>
                                            <m:t xml:space="preserve"> </m:t>
                                          </m:r>
                                          <m:r>
                                            <w:rPr>
                                              <w:rFonts w:ascii="Cambria Math" w:hAnsi="Cambria Math"/>
                                            </w:rPr>
                                            <m:t>Services</m:t>
                                          </m:r>
                                        </m:e>
                                        <m:sup>
                                          <m:r>
                                            <w:rPr>
                                              <w:rFonts w:ascii="Cambria Math" w:hAnsi="Cambria Math"/>
                                            </w:rPr>
                                            <m:t>p</m:t>
                                          </m:r>
                                          <m:r>
                                            <m:rPr>
                                              <m:sty m:val="p"/>
                                            </m:rPr>
                                            <w:rPr>
                                              <w:rFonts w:ascii="Cambria Math" w:hAnsi="Cambria Math"/>
                                            </w:rPr>
                                            <m:t xml:space="preserve"> </m:t>
                                          </m:r>
                                          <m:r>
                                            <w:rPr>
                                              <w:rFonts w:ascii="Cambria Math" w:hAnsi="Cambria Math"/>
                                            </w:rPr>
                                            <m:t>yr</m:t>
                                          </m:r>
                                          <m:r>
                                            <m:rPr>
                                              <m:sty m:val="p"/>
                                            </m:rPr>
                                            <w:rPr>
                                              <w:rFonts w:ascii="Cambria Math" w:hAnsi="Cambria Math"/>
                                            </w:rPr>
                                            <m:t xml:space="preserve"> </m:t>
                                          </m:r>
                                          <m:r>
                                            <w:rPr>
                                              <w:rFonts w:ascii="Cambria Math" w:hAnsi="Cambria Math"/>
                                            </w:rPr>
                                            <m:t>i</m:t>
                                          </m:r>
                                          <m:r>
                                            <m:rPr>
                                              <m:sty m:val="p"/>
                                            </m:rPr>
                                            <w:rPr>
                                              <w:rFonts w:ascii="Cambria Math" w:hAnsi="Cambria Math"/>
                                            </w:rPr>
                                            <m:t>-1</m:t>
                                          </m:r>
                                        </m:sup>
                                      </m:sSup>
                                    </m:num>
                                    <m:den>
                                      <m:sSup>
                                        <m:sSupPr>
                                          <m:ctrlPr>
                                            <w:rPr>
                                              <w:rFonts w:ascii="Cambria Math" w:hAnsi="Cambria Math"/>
                                            </w:rPr>
                                          </m:ctrlPr>
                                        </m:sSupPr>
                                        <m:e>
                                          <m:r>
                                            <w:rPr>
                                              <w:rFonts w:ascii="Cambria Math" w:hAnsi="Cambria Math"/>
                                            </w:rPr>
                                            <m:t>Wking</m:t>
                                          </m:r>
                                          <m:r>
                                            <m:rPr>
                                              <m:sty m:val="p"/>
                                            </m:rPr>
                                            <w:rPr>
                                              <w:rFonts w:ascii="Cambria Math" w:hAnsi="Cambria Math"/>
                                            </w:rPr>
                                            <m:t xml:space="preserve"> </m:t>
                                          </m:r>
                                          <m:r>
                                            <w:rPr>
                                              <w:rFonts w:ascii="Cambria Math" w:hAnsi="Cambria Math"/>
                                            </w:rPr>
                                            <m:t>Days</m:t>
                                          </m:r>
                                        </m:e>
                                        <m:sup>
                                          <m:r>
                                            <w:rPr>
                                              <w:rFonts w:ascii="Cambria Math" w:hAnsi="Cambria Math"/>
                                            </w:rPr>
                                            <m:t>p</m:t>
                                          </m:r>
                                          <m:r>
                                            <m:rPr>
                                              <m:sty m:val="p"/>
                                            </m:rPr>
                                            <w:rPr>
                                              <w:rFonts w:ascii="Cambria Math" w:hAnsi="Cambria Math"/>
                                            </w:rPr>
                                            <m:t xml:space="preserve"> </m:t>
                                          </m:r>
                                          <m:r>
                                            <w:rPr>
                                              <w:rFonts w:ascii="Cambria Math" w:hAnsi="Cambria Math"/>
                                            </w:rPr>
                                            <m:t>yr</m:t>
                                          </m:r>
                                          <m:r>
                                            <m:rPr>
                                              <m:sty m:val="p"/>
                                            </m:rPr>
                                            <w:rPr>
                                              <w:rFonts w:ascii="Cambria Math" w:hAnsi="Cambria Math"/>
                                            </w:rPr>
                                            <m:t xml:space="preserve"> </m:t>
                                          </m:r>
                                          <m:r>
                                            <w:rPr>
                                              <w:rFonts w:ascii="Cambria Math" w:hAnsi="Cambria Math"/>
                                            </w:rPr>
                                            <m:t>i</m:t>
                                          </m:r>
                                          <m:r>
                                            <m:rPr>
                                              <m:sty m:val="p"/>
                                            </m:rPr>
                                            <w:rPr>
                                              <w:rFonts w:ascii="Cambria Math" w:hAnsi="Cambria Math"/>
                                            </w:rPr>
                                            <m:t>-1</m:t>
                                          </m:r>
                                        </m:sup>
                                      </m:sSup>
                                    </m:den>
                                  </m:f>
                                </m:e>
                              </m:d>
                            </m:num>
                            <m:den>
                              <m:d>
                                <m:dPr>
                                  <m:ctrlPr>
                                    <w:rPr>
                                      <w:rFonts w:ascii="Cambria Math" w:hAnsi="Cambria Math"/>
                                    </w:rPr>
                                  </m:ctrlPr>
                                </m:dPr>
                                <m:e>
                                  <m:f>
                                    <m:fPr>
                                      <m:ctrlPr>
                                        <w:rPr>
                                          <w:rFonts w:ascii="Cambria Math" w:hAnsi="Cambria Math"/>
                                        </w:rPr>
                                      </m:ctrlPr>
                                    </m:fPr>
                                    <m:num>
                                      <m:sSup>
                                        <m:sSupPr>
                                          <m:ctrlPr>
                                            <w:rPr>
                                              <w:rFonts w:ascii="Cambria Math" w:hAnsi="Cambria Math"/>
                                            </w:rPr>
                                          </m:ctrlPr>
                                        </m:sSupPr>
                                        <m:e>
                                          <m:r>
                                            <w:rPr>
                                              <w:rFonts w:ascii="Cambria Math" w:hAnsi="Cambria Math"/>
                                            </w:rPr>
                                            <m:t>Total</m:t>
                                          </m:r>
                                          <m:r>
                                            <m:rPr>
                                              <m:sty m:val="p"/>
                                            </m:rPr>
                                            <w:rPr>
                                              <w:rFonts w:ascii="Cambria Math" w:hAnsi="Cambria Math"/>
                                            </w:rPr>
                                            <m:t xml:space="preserve"> </m:t>
                                          </m:r>
                                          <m:r>
                                            <w:rPr>
                                              <w:rFonts w:ascii="Cambria Math" w:hAnsi="Cambria Math"/>
                                            </w:rPr>
                                            <m:t>Services</m:t>
                                          </m:r>
                                        </m:e>
                                        <m:sup>
                                          <m:r>
                                            <w:rPr>
                                              <w:rFonts w:ascii="Cambria Math" w:hAnsi="Cambria Math"/>
                                            </w:rPr>
                                            <m:t>p</m:t>
                                          </m:r>
                                          <m:r>
                                            <m:rPr>
                                              <m:sty m:val="p"/>
                                            </m:rPr>
                                            <w:rPr>
                                              <w:rFonts w:ascii="Cambria Math" w:hAnsi="Cambria Math"/>
                                            </w:rPr>
                                            <m:t xml:space="preserve"> </m:t>
                                          </m:r>
                                          <m:r>
                                            <w:rPr>
                                              <w:rFonts w:ascii="Cambria Math" w:hAnsi="Cambria Math"/>
                                            </w:rPr>
                                            <m:t>yr</m:t>
                                          </m:r>
                                          <m:r>
                                            <m:rPr>
                                              <m:sty m:val="p"/>
                                            </m:rPr>
                                            <w:rPr>
                                              <w:rFonts w:ascii="Cambria Math" w:hAnsi="Cambria Math"/>
                                            </w:rPr>
                                            <m:t xml:space="preserve"> </m:t>
                                          </m:r>
                                          <m:r>
                                            <w:rPr>
                                              <w:rFonts w:ascii="Cambria Math" w:hAnsi="Cambria Math"/>
                                            </w:rPr>
                                            <m:t>i</m:t>
                                          </m:r>
                                          <m:r>
                                            <m:rPr>
                                              <m:sty m:val="p"/>
                                            </m:rPr>
                                            <w:rPr>
                                              <w:rFonts w:ascii="Cambria Math" w:hAnsi="Cambria Math"/>
                                            </w:rPr>
                                            <m:t>-1</m:t>
                                          </m:r>
                                        </m:sup>
                                      </m:sSup>
                                    </m:num>
                                    <m:den>
                                      <m:sSup>
                                        <m:sSupPr>
                                          <m:ctrlPr>
                                            <w:rPr>
                                              <w:rFonts w:ascii="Cambria Math" w:hAnsi="Cambria Math"/>
                                            </w:rPr>
                                          </m:ctrlPr>
                                        </m:sSupPr>
                                        <m:e>
                                          <m:r>
                                            <w:rPr>
                                              <w:rFonts w:ascii="Cambria Math" w:hAnsi="Cambria Math"/>
                                            </w:rPr>
                                            <m:t>Wking</m:t>
                                          </m:r>
                                          <m:r>
                                            <m:rPr>
                                              <m:sty m:val="p"/>
                                            </m:rPr>
                                            <w:rPr>
                                              <w:rFonts w:ascii="Cambria Math" w:hAnsi="Cambria Math"/>
                                            </w:rPr>
                                            <m:t xml:space="preserve"> </m:t>
                                          </m:r>
                                          <m:r>
                                            <w:rPr>
                                              <w:rFonts w:ascii="Cambria Math" w:hAnsi="Cambria Math"/>
                                            </w:rPr>
                                            <m:t>Days</m:t>
                                          </m:r>
                                        </m:e>
                                        <m:sup>
                                          <m:r>
                                            <w:rPr>
                                              <w:rFonts w:ascii="Cambria Math" w:hAnsi="Cambria Math"/>
                                            </w:rPr>
                                            <m:t>p</m:t>
                                          </m:r>
                                          <m:r>
                                            <m:rPr>
                                              <m:sty m:val="p"/>
                                            </m:rPr>
                                            <w:rPr>
                                              <w:rFonts w:ascii="Cambria Math" w:hAnsi="Cambria Math"/>
                                            </w:rPr>
                                            <m:t xml:space="preserve"> </m:t>
                                          </m:r>
                                          <m:r>
                                            <w:rPr>
                                              <w:rFonts w:ascii="Cambria Math" w:hAnsi="Cambria Math"/>
                                            </w:rPr>
                                            <m:t>yr</m:t>
                                          </m:r>
                                          <m:r>
                                            <m:rPr>
                                              <m:sty m:val="p"/>
                                            </m:rPr>
                                            <w:rPr>
                                              <w:rFonts w:ascii="Cambria Math" w:hAnsi="Cambria Math"/>
                                            </w:rPr>
                                            <m:t xml:space="preserve"> </m:t>
                                          </m:r>
                                          <m:r>
                                            <w:rPr>
                                              <w:rFonts w:ascii="Cambria Math" w:hAnsi="Cambria Math"/>
                                            </w:rPr>
                                            <m:t>i</m:t>
                                          </m:r>
                                          <m:r>
                                            <m:rPr>
                                              <m:sty m:val="p"/>
                                            </m:rPr>
                                            <w:rPr>
                                              <w:rFonts w:ascii="Cambria Math" w:hAnsi="Cambria Math"/>
                                            </w:rPr>
                                            <m:t>-1</m:t>
                                          </m:r>
                                        </m:sup>
                                      </m:sSup>
                                    </m:den>
                                  </m:f>
                                </m:e>
                              </m:d>
                            </m:den>
                          </m:f>
                        </m:oMath>
                      </m:oMathPara>
                    </w:p>
                  </w:txbxContent>
                </v:textbox>
                <w10:anchorlock/>
              </v:shape>
            </w:pict>
          </mc:Fallback>
        </mc:AlternateContent>
      </w:r>
    </w:p>
    <w:p w14:paraId="6A1B1D96" w14:textId="1D723D4B" w:rsidR="003B2084" w:rsidRPr="00193298" w:rsidRDefault="003B2084" w:rsidP="00D24622">
      <w:r w:rsidRPr="00193298">
        <w:t>Where</w:t>
      </w:r>
      <w:r w:rsidR="00C958FB" w:rsidRPr="00193298">
        <w:t>:</w:t>
      </w:r>
    </w:p>
    <w:p w14:paraId="2D4AE9D8" w14:textId="42DCDB0B" w:rsidR="003B2084" w:rsidRPr="00193298" w:rsidRDefault="003B2084" w:rsidP="00D24622">
      <w:r w:rsidRPr="00193298">
        <w:t xml:space="preserve">Total Services p </w:t>
      </w:r>
      <w:proofErr w:type="spellStart"/>
      <w:r w:rsidRPr="00193298">
        <w:t>yr</w:t>
      </w:r>
      <w:proofErr w:type="spellEnd"/>
      <w:r w:rsidRPr="00193298">
        <w:t xml:space="preserve"> </w:t>
      </w:r>
      <w:r w:rsidR="00C958FB" w:rsidRPr="00193298">
        <w:t>I</w:t>
      </w:r>
      <w:proofErr w:type="gramStart"/>
      <w:r w:rsidR="00C958FB" w:rsidRPr="00193298">
        <w:tab/>
        <w:t xml:space="preserve">  </w:t>
      </w:r>
      <w:r w:rsidRPr="00193298">
        <w:t>=</w:t>
      </w:r>
      <w:proofErr w:type="gramEnd"/>
      <w:r w:rsidRPr="00193298">
        <w:t xml:space="preserve"> </w:t>
      </w:r>
      <w:r w:rsidRPr="00193298">
        <w:tab/>
        <w:t xml:space="preserve">total number of services for the reference period in the latest year </w:t>
      </w:r>
    </w:p>
    <w:p w14:paraId="2DF9E1F4" w14:textId="1084716A" w:rsidR="003B2084" w:rsidRPr="00193298" w:rsidRDefault="003B2084" w:rsidP="00D24622">
      <w:proofErr w:type="spellStart"/>
      <w:r w:rsidRPr="00193298">
        <w:t>Wking</w:t>
      </w:r>
      <w:proofErr w:type="spellEnd"/>
      <w:r w:rsidRPr="00193298">
        <w:t xml:space="preserve"> Days p </w:t>
      </w:r>
      <w:proofErr w:type="spellStart"/>
      <w:r w:rsidRPr="00193298">
        <w:t>yr</w:t>
      </w:r>
      <w:proofErr w:type="spellEnd"/>
      <w:r w:rsidRPr="00193298">
        <w:t xml:space="preserve"> </w:t>
      </w:r>
      <w:r w:rsidR="00C958FB" w:rsidRPr="00193298">
        <w:t>I</w:t>
      </w:r>
      <w:proofErr w:type="gramStart"/>
      <w:r w:rsidR="00C958FB" w:rsidRPr="00193298">
        <w:tab/>
        <w:t xml:space="preserve">  </w:t>
      </w:r>
      <w:r w:rsidRPr="00193298">
        <w:t>=</w:t>
      </w:r>
      <w:proofErr w:type="gramEnd"/>
      <w:r w:rsidRPr="00193298">
        <w:t xml:space="preserve"> </w:t>
      </w:r>
      <w:r w:rsidRPr="00193298">
        <w:tab/>
        <w:t xml:space="preserve">number of working days for the reference period in the latest year </w:t>
      </w:r>
    </w:p>
    <w:p w14:paraId="665E295A" w14:textId="39AC2B64" w:rsidR="003B2084" w:rsidRPr="00193298" w:rsidRDefault="003B2084" w:rsidP="00D24622">
      <w:r w:rsidRPr="00193298">
        <w:t xml:space="preserve">Total Services p </w:t>
      </w:r>
      <w:proofErr w:type="spellStart"/>
      <w:r w:rsidRPr="00193298">
        <w:t>yr</w:t>
      </w:r>
      <w:proofErr w:type="spellEnd"/>
      <w:r w:rsidRPr="00193298">
        <w:t xml:space="preserve"> i-1</w:t>
      </w:r>
      <w:proofErr w:type="gramStart"/>
      <w:r w:rsidR="00C958FB" w:rsidRPr="00193298">
        <w:tab/>
        <w:t xml:space="preserve">  </w:t>
      </w:r>
      <w:r w:rsidRPr="00193298">
        <w:t>=</w:t>
      </w:r>
      <w:proofErr w:type="gramEnd"/>
      <w:r w:rsidRPr="00193298">
        <w:t xml:space="preserve"> </w:t>
      </w:r>
      <w:r w:rsidRPr="00193298">
        <w:tab/>
        <w:t>total number of services for the reference period in the previous</w:t>
      </w:r>
    </w:p>
    <w:p w14:paraId="5CC84D21" w14:textId="01BABE29" w:rsidR="00C140B4" w:rsidRPr="00193298" w:rsidRDefault="003B2084" w:rsidP="00D24622">
      <w:proofErr w:type="spellStart"/>
      <w:r w:rsidRPr="00193298">
        <w:lastRenderedPageBreak/>
        <w:t>Wking</w:t>
      </w:r>
      <w:proofErr w:type="spellEnd"/>
      <w:r w:rsidRPr="00193298">
        <w:t xml:space="preserve"> Days p </w:t>
      </w:r>
      <w:proofErr w:type="spellStart"/>
      <w:r w:rsidRPr="00193298">
        <w:t>yr</w:t>
      </w:r>
      <w:proofErr w:type="spellEnd"/>
      <w:r w:rsidRPr="00193298">
        <w:t xml:space="preserve"> i-1</w:t>
      </w:r>
      <w:proofErr w:type="gramStart"/>
      <w:r w:rsidR="00C958FB" w:rsidRPr="00193298">
        <w:tab/>
        <w:t xml:space="preserve">  </w:t>
      </w:r>
      <w:r w:rsidRPr="00193298">
        <w:t>=</w:t>
      </w:r>
      <w:proofErr w:type="gramEnd"/>
      <w:r w:rsidRPr="00193298">
        <w:t xml:space="preserve"> </w:t>
      </w:r>
      <w:r w:rsidRPr="00193298">
        <w:tab/>
        <w:t xml:space="preserve">number of working days for the reference period in the previous </w:t>
      </w:r>
      <w:r w:rsidRPr="00193298">
        <w:br/>
      </w:r>
      <w:r w:rsidRPr="00193298">
        <w:tab/>
      </w:r>
      <w:r w:rsidR="00C958FB" w:rsidRPr="00193298">
        <w:tab/>
      </w:r>
      <w:r w:rsidR="00C958FB" w:rsidRPr="00193298">
        <w:tab/>
      </w:r>
      <w:r w:rsidR="00C958FB" w:rsidRPr="00193298">
        <w:tab/>
      </w:r>
      <w:r w:rsidRPr="00193298">
        <w:t xml:space="preserve">year </w:t>
      </w:r>
    </w:p>
    <w:p w14:paraId="42363267" w14:textId="2B0B6A00" w:rsidR="00C140B4" w:rsidRPr="00193298" w:rsidRDefault="003B2084" w:rsidP="00D24622">
      <w:r w:rsidRPr="00193298">
        <w:t xml:space="preserve">The calculation for % change without correcting for working days simply removes the working days from the calculation. </w:t>
      </w:r>
    </w:p>
    <w:p w14:paraId="6FEE4C07" w14:textId="06281CD5" w:rsidR="00C958FB" w:rsidRPr="00193298" w:rsidRDefault="00C958FB" w:rsidP="00D24622">
      <w:r w:rsidRPr="00193298">
        <w:rPr>
          <w:noProof/>
        </w:rPr>
        <mc:AlternateContent>
          <mc:Choice Requires="wps">
            <w:drawing>
              <wp:inline distT="0" distB="0" distL="0" distR="0" wp14:anchorId="4BE6C3E3" wp14:editId="43A33886">
                <wp:extent cx="3971925" cy="571500"/>
                <wp:effectExtent l="0" t="0" r="9525" b="0"/>
                <wp:docPr id="7" name="Text Box 7" descr="&quot;% Change&quot;=((〖Total Services〗^(p yr i) )-(〖Total Services〗^(p yr i-1) ))/((〖Total Services〗^(p yr i-1) ) )"/>
                <wp:cNvGraphicFramePr/>
                <a:graphic xmlns:a="http://schemas.openxmlformats.org/drawingml/2006/main">
                  <a:graphicData uri="http://schemas.microsoft.com/office/word/2010/wordprocessingShape">
                    <wps:wsp>
                      <wps:cNvSpPr txBox="1"/>
                      <wps:spPr>
                        <a:xfrm>
                          <a:off x="0" y="0"/>
                          <a:ext cx="3971925" cy="571500"/>
                        </a:xfrm>
                        <a:prstGeom prst="rect">
                          <a:avLst/>
                        </a:prstGeom>
                        <a:solidFill>
                          <a:srgbClr val="EAEDF2"/>
                        </a:solidFill>
                        <a:ln w="6350">
                          <a:noFill/>
                        </a:ln>
                      </wps:spPr>
                      <wps:txbx>
                        <w:txbxContent>
                          <w:p w14:paraId="63F22705" w14:textId="6AB9AB5A" w:rsidR="00C958FB" w:rsidRDefault="00C958FB" w:rsidP="00D24622">
                            <m:oMathPara>
                              <m:oMath>
                                <m:r>
                                  <m:rPr>
                                    <m:nor/>
                                  </m:rPr>
                                  <m:t>% Change</m:t>
                                </m:r>
                                <m:r>
                                  <m:rPr>
                                    <m:sty m:val="p"/>
                                  </m:rPr>
                                  <w:rPr>
                                    <w:rFonts w:ascii="Cambria Math" w:hAnsi="Cambria Math"/>
                                  </w:rPr>
                                  <m:t>=</m:t>
                                </m:r>
                                <m:f>
                                  <m:fPr>
                                    <m:ctrlPr>
                                      <w:rPr>
                                        <w:rFonts w:ascii="Cambria Math" w:hAnsi="Cambria Math"/>
                                      </w:rPr>
                                    </m:ctrlPr>
                                  </m:fPr>
                                  <m:num>
                                    <m:d>
                                      <m:dPr>
                                        <m:ctrlPr>
                                          <w:rPr>
                                            <w:rFonts w:ascii="Cambria Math" w:hAnsi="Cambria Math"/>
                                          </w:rPr>
                                        </m:ctrlPr>
                                      </m:dPr>
                                      <m:e>
                                        <m:sSup>
                                          <m:sSupPr>
                                            <m:ctrlPr>
                                              <w:rPr>
                                                <w:rFonts w:ascii="Cambria Math" w:hAnsi="Cambria Math"/>
                                              </w:rPr>
                                            </m:ctrlPr>
                                          </m:sSupPr>
                                          <m:e>
                                            <m:r>
                                              <w:rPr>
                                                <w:rFonts w:ascii="Cambria Math" w:hAnsi="Cambria Math"/>
                                              </w:rPr>
                                              <m:t>Total</m:t>
                                            </m:r>
                                            <m:r>
                                              <m:rPr>
                                                <m:sty m:val="p"/>
                                              </m:rPr>
                                              <w:rPr>
                                                <w:rFonts w:ascii="Cambria Math" w:hAnsi="Cambria Math"/>
                                              </w:rPr>
                                              <m:t xml:space="preserve"> </m:t>
                                            </m:r>
                                            <m:r>
                                              <w:rPr>
                                                <w:rFonts w:ascii="Cambria Math" w:hAnsi="Cambria Math"/>
                                              </w:rPr>
                                              <m:t>Services</m:t>
                                            </m:r>
                                          </m:e>
                                          <m:sup>
                                            <m:r>
                                              <w:rPr>
                                                <w:rFonts w:ascii="Cambria Math" w:hAnsi="Cambria Math"/>
                                              </w:rPr>
                                              <m:t>p</m:t>
                                            </m:r>
                                            <m:r>
                                              <m:rPr>
                                                <m:sty m:val="p"/>
                                              </m:rPr>
                                              <w:rPr>
                                                <w:rFonts w:ascii="Cambria Math" w:hAnsi="Cambria Math"/>
                                              </w:rPr>
                                              <m:t xml:space="preserve"> </m:t>
                                            </m:r>
                                            <m:r>
                                              <w:rPr>
                                                <w:rFonts w:ascii="Cambria Math" w:hAnsi="Cambria Math"/>
                                              </w:rPr>
                                              <m:t>yr</m:t>
                                            </m:r>
                                            <m:r>
                                              <m:rPr>
                                                <m:sty m:val="p"/>
                                              </m:rPr>
                                              <w:rPr>
                                                <w:rFonts w:ascii="Cambria Math" w:hAnsi="Cambria Math"/>
                                              </w:rPr>
                                              <m:t xml:space="preserve"> </m:t>
                                            </m:r>
                                            <m:r>
                                              <w:rPr>
                                                <w:rFonts w:ascii="Cambria Math" w:hAnsi="Cambria Math"/>
                                              </w:rPr>
                                              <m:t>i</m:t>
                                            </m:r>
                                          </m:sup>
                                        </m:sSup>
                                      </m:e>
                                    </m:d>
                                    <m:r>
                                      <m:rPr>
                                        <m:sty m:val="p"/>
                                      </m:rP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Total</m:t>
                                            </m:r>
                                            <m:r>
                                              <m:rPr>
                                                <m:sty m:val="p"/>
                                              </m:rPr>
                                              <w:rPr>
                                                <w:rFonts w:ascii="Cambria Math" w:hAnsi="Cambria Math"/>
                                              </w:rPr>
                                              <m:t xml:space="preserve"> </m:t>
                                            </m:r>
                                            <m:r>
                                              <w:rPr>
                                                <w:rFonts w:ascii="Cambria Math" w:hAnsi="Cambria Math"/>
                                              </w:rPr>
                                              <m:t>Services</m:t>
                                            </m:r>
                                          </m:e>
                                          <m:sup>
                                            <m:r>
                                              <w:rPr>
                                                <w:rFonts w:ascii="Cambria Math" w:hAnsi="Cambria Math"/>
                                              </w:rPr>
                                              <m:t>p</m:t>
                                            </m:r>
                                            <m:r>
                                              <m:rPr>
                                                <m:sty m:val="p"/>
                                              </m:rPr>
                                              <w:rPr>
                                                <w:rFonts w:ascii="Cambria Math" w:hAnsi="Cambria Math"/>
                                              </w:rPr>
                                              <m:t xml:space="preserve"> </m:t>
                                            </m:r>
                                            <m:r>
                                              <w:rPr>
                                                <w:rFonts w:ascii="Cambria Math" w:hAnsi="Cambria Math"/>
                                              </w:rPr>
                                              <m:t>yr</m:t>
                                            </m:r>
                                            <m:r>
                                              <m:rPr>
                                                <m:sty m:val="p"/>
                                              </m:rPr>
                                              <w:rPr>
                                                <w:rFonts w:ascii="Cambria Math" w:hAnsi="Cambria Math"/>
                                              </w:rPr>
                                              <m:t xml:space="preserve"> </m:t>
                                            </m:r>
                                            <m:r>
                                              <w:rPr>
                                                <w:rFonts w:ascii="Cambria Math" w:hAnsi="Cambria Math"/>
                                              </w:rPr>
                                              <m:t>i</m:t>
                                            </m:r>
                                            <m:r>
                                              <m:rPr>
                                                <m:sty m:val="p"/>
                                              </m:rPr>
                                              <w:rPr>
                                                <w:rFonts w:ascii="Cambria Math" w:hAnsi="Cambria Math"/>
                                              </w:rPr>
                                              <m:t>-1</m:t>
                                            </m:r>
                                          </m:sup>
                                        </m:sSup>
                                      </m:e>
                                    </m:d>
                                  </m:num>
                                  <m:den>
                                    <m:d>
                                      <m:dPr>
                                        <m:ctrlPr>
                                          <w:rPr>
                                            <w:rFonts w:ascii="Cambria Math" w:hAnsi="Cambria Math"/>
                                          </w:rPr>
                                        </m:ctrlPr>
                                      </m:dPr>
                                      <m:e>
                                        <m:sSup>
                                          <m:sSupPr>
                                            <m:ctrlPr>
                                              <w:rPr>
                                                <w:rFonts w:ascii="Cambria Math" w:hAnsi="Cambria Math"/>
                                              </w:rPr>
                                            </m:ctrlPr>
                                          </m:sSupPr>
                                          <m:e>
                                            <m:r>
                                              <w:rPr>
                                                <w:rFonts w:ascii="Cambria Math" w:hAnsi="Cambria Math"/>
                                              </w:rPr>
                                              <m:t>Total</m:t>
                                            </m:r>
                                            <m:r>
                                              <m:rPr>
                                                <m:sty m:val="p"/>
                                              </m:rPr>
                                              <w:rPr>
                                                <w:rFonts w:ascii="Cambria Math" w:hAnsi="Cambria Math"/>
                                              </w:rPr>
                                              <m:t xml:space="preserve"> </m:t>
                                            </m:r>
                                            <m:r>
                                              <w:rPr>
                                                <w:rFonts w:ascii="Cambria Math" w:hAnsi="Cambria Math"/>
                                              </w:rPr>
                                              <m:t>Services</m:t>
                                            </m:r>
                                          </m:e>
                                          <m:sup>
                                            <m:r>
                                              <w:rPr>
                                                <w:rFonts w:ascii="Cambria Math" w:hAnsi="Cambria Math"/>
                                              </w:rPr>
                                              <m:t>p</m:t>
                                            </m:r>
                                            <m:r>
                                              <m:rPr>
                                                <m:sty m:val="p"/>
                                              </m:rPr>
                                              <w:rPr>
                                                <w:rFonts w:ascii="Cambria Math" w:hAnsi="Cambria Math"/>
                                              </w:rPr>
                                              <m:t xml:space="preserve"> </m:t>
                                            </m:r>
                                            <m:r>
                                              <w:rPr>
                                                <w:rFonts w:ascii="Cambria Math" w:hAnsi="Cambria Math"/>
                                              </w:rPr>
                                              <m:t>yr</m:t>
                                            </m:r>
                                            <m:r>
                                              <m:rPr>
                                                <m:sty m:val="p"/>
                                              </m:rPr>
                                              <w:rPr>
                                                <w:rFonts w:ascii="Cambria Math" w:hAnsi="Cambria Math"/>
                                              </w:rPr>
                                              <m:t xml:space="preserve"> </m:t>
                                            </m:r>
                                            <m:r>
                                              <w:rPr>
                                                <w:rFonts w:ascii="Cambria Math" w:hAnsi="Cambria Math"/>
                                              </w:rPr>
                                              <m:t>i</m:t>
                                            </m:r>
                                            <m:r>
                                              <m:rPr>
                                                <m:sty m:val="p"/>
                                              </m:rPr>
                                              <w:rPr>
                                                <w:rFonts w:ascii="Cambria Math" w:hAnsi="Cambria Math"/>
                                              </w:rPr>
                                              <m:t>-1</m:t>
                                            </m:r>
                                          </m:sup>
                                        </m:sSup>
                                      </m:e>
                                    </m:d>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BE6C3E3" id="Text Box 7" o:spid="_x0000_s1027" type="#_x0000_t202" alt="&quot;% Change&quot;=((〖Total Services〗^(p yr i) )-(〖Total Services〗^(p yr i-1) ))/((〖Total Services〗^(p yr i-1) ) )" style="width:312.7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" fillcolor="#eaedf2" stroked="f" strokeweight=".5pt">
                <v:textbox>
                  <w:txbxContent>
                    <w:p w14:paraId="63F22705" w14:textId="6AB9AB5A" w:rsidR="00C958FB" w:rsidRDefault="00C958FB" w:rsidP="00D24622">
                      <m:oMathPara>
                        <m:oMath>
                          <m:r>
                            <m:rPr>
                              <m:nor/>
                            </m:rPr>
                            <m:t>% Change</m:t>
                          </m:r>
                          <m:r>
                            <m:rPr>
                              <m:sty m:val="p"/>
                            </m:rPr>
                            <w:rPr>
                              <w:rFonts w:ascii="Cambria Math" w:hAnsi="Cambria Math"/>
                            </w:rPr>
                            <m:t>=</m:t>
                          </m:r>
                          <m:f>
                            <m:fPr>
                              <m:ctrlPr>
                                <w:rPr>
                                  <w:rFonts w:ascii="Cambria Math" w:hAnsi="Cambria Math"/>
                                </w:rPr>
                              </m:ctrlPr>
                            </m:fPr>
                            <m:num>
                              <m:d>
                                <m:dPr>
                                  <m:ctrlPr>
                                    <w:rPr>
                                      <w:rFonts w:ascii="Cambria Math" w:hAnsi="Cambria Math"/>
                                    </w:rPr>
                                  </m:ctrlPr>
                                </m:dPr>
                                <m:e>
                                  <m:sSup>
                                    <m:sSupPr>
                                      <m:ctrlPr>
                                        <w:rPr>
                                          <w:rFonts w:ascii="Cambria Math" w:hAnsi="Cambria Math"/>
                                        </w:rPr>
                                      </m:ctrlPr>
                                    </m:sSupPr>
                                    <m:e>
                                      <m:r>
                                        <w:rPr>
                                          <w:rFonts w:ascii="Cambria Math" w:hAnsi="Cambria Math"/>
                                        </w:rPr>
                                        <m:t>Total</m:t>
                                      </m:r>
                                      <m:r>
                                        <m:rPr>
                                          <m:sty m:val="p"/>
                                        </m:rPr>
                                        <w:rPr>
                                          <w:rFonts w:ascii="Cambria Math" w:hAnsi="Cambria Math"/>
                                        </w:rPr>
                                        <m:t xml:space="preserve"> </m:t>
                                      </m:r>
                                      <m:r>
                                        <w:rPr>
                                          <w:rFonts w:ascii="Cambria Math" w:hAnsi="Cambria Math"/>
                                        </w:rPr>
                                        <m:t>Services</m:t>
                                      </m:r>
                                    </m:e>
                                    <m:sup>
                                      <m:r>
                                        <w:rPr>
                                          <w:rFonts w:ascii="Cambria Math" w:hAnsi="Cambria Math"/>
                                        </w:rPr>
                                        <m:t>p</m:t>
                                      </m:r>
                                      <m:r>
                                        <m:rPr>
                                          <m:sty m:val="p"/>
                                        </m:rPr>
                                        <w:rPr>
                                          <w:rFonts w:ascii="Cambria Math" w:hAnsi="Cambria Math"/>
                                        </w:rPr>
                                        <m:t xml:space="preserve"> </m:t>
                                      </m:r>
                                      <m:r>
                                        <w:rPr>
                                          <w:rFonts w:ascii="Cambria Math" w:hAnsi="Cambria Math"/>
                                        </w:rPr>
                                        <m:t>yr</m:t>
                                      </m:r>
                                      <m:r>
                                        <m:rPr>
                                          <m:sty m:val="p"/>
                                        </m:rPr>
                                        <w:rPr>
                                          <w:rFonts w:ascii="Cambria Math" w:hAnsi="Cambria Math"/>
                                        </w:rPr>
                                        <m:t xml:space="preserve"> </m:t>
                                      </m:r>
                                      <m:r>
                                        <w:rPr>
                                          <w:rFonts w:ascii="Cambria Math" w:hAnsi="Cambria Math"/>
                                        </w:rPr>
                                        <m:t>i</m:t>
                                      </m:r>
                                    </m:sup>
                                  </m:sSup>
                                </m:e>
                              </m:d>
                              <m:r>
                                <m:rPr>
                                  <m:sty m:val="p"/>
                                </m:rP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Total</m:t>
                                      </m:r>
                                      <m:r>
                                        <m:rPr>
                                          <m:sty m:val="p"/>
                                        </m:rPr>
                                        <w:rPr>
                                          <w:rFonts w:ascii="Cambria Math" w:hAnsi="Cambria Math"/>
                                        </w:rPr>
                                        <m:t xml:space="preserve"> </m:t>
                                      </m:r>
                                      <m:r>
                                        <w:rPr>
                                          <w:rFonts w:ascii="Cambria Math" w:hAnsi="Cambria Math"/>
                                        </w:rPr>
                                        <m:t>Services</m:t>
                                      </m:r>
                                    </m:e>
                                    <m:sup>
                                      <m:r>
                                        <w:rPr>
                                          <w:rFonts w:ascii="Cambria Math" w:hAnsi="Cambria Math"/>
                                        </w:rPr>
                                        <m:t>p</m:t>
                                      </m:r>
                                      <m:r>
                                        <m:rPr>
                                          <m:sty m:val="p"/>
                                        </m:rPr>
                                        <w:rPr>
                                          <w:rFonts w:ascii="Cambria Math" w:hAnsi="Cambria Math"/>
                                        </w:rPr>
                                        <m:t xml:space="preserve"> </m:t>
                                      </m:r>
                                      <m:r>
                                        <w:rPr>
                                          <w:rFonts w:ascii="Cambria Math" w:hAnsi="Cambria Math"/>
                                        </w:rPr>
                                        <m:t>yr</m:t>
                                      </m:r>
                                      <m:r>
                                        <m:rPr>
                                          <m:sty m:val="p"/>
                                        </m:rPr>
                                        <w:rPr>
                                          <w:rFonts w:ascii="Cambria Math" w:hAnsi="Cambria Math"/>
                                        </w:rPr>
                                        <m:t xml:space="preserve"> </m:t>
                                      </m:r>
                                      <m:r>
                                        <w:rPr>
                                          <w:rFonts w:ascii="Cambria Math" w:hAnsi="Cambria Math"/>
                                        </w:rPr>
                                        <m:t>i</m:t>
                                      </m:r>
                                      <m:r>
                                        <m:rPr>
                                          <m:sty m:val="p"/>
                                        </m:rPr>
                                        <w:rPr>
                                          <w:rFonts w:ascii="Cambria Math" w:hAnsi="Cambria Math"/>
                                        </w:rPr>
                                        <m:t>-1</m:t>
                                      </m:r>
                                    </m:sup>
                                  </m:sSup>
                                </m:e>
                              </m:d>
                            </m:num>
                            <m:den>
                              <m:d>
                                <m:dPr>
                                  <m:ctrlPr>
                                    <w:rPr>
                                      <w:rFonts w:ascii="Cambria Math" w:hAnsi="Cambria Math"/>
                                    </w:rPr>
                                  </m:ctrlPr>
                                </m:dPr>
                                <m:e>
                                  <m:sSup>
                                    <m:sSupPr>
                                      <m:ctrlPr>
                                        <w:rPr>
                                          <w:rFonts w:ascii="Cambria Math" w:hAnsi="Cambria Math"/>
                                        </w:rPr>
                                      </m:ctrlPr>
                                    </m:sSupPr>
                                    <m:e>
                                      <m:r>
                                        <w:rPr>
                                          <w:rFonts w:ascii="Cambria Math" w:hAnsi="Cambria Math"/>
                                        </w:rPr>
                                        <m:t>Total</m:t>
                                      </m:r>
                                      <m:r>
                                        <m:rPr>
                                          <m:sty m:val="p"/>
                                        </m:rPr>
                                        <w:rPr>
                                          <w:rFonts w:ascii="Cambria Math" w:hAnsi="Cambria Math"/>
                                        </w:rPr>
                                        <m:t xml:space="preserve"> </m:t>
                                      </m:r>
                                      <m:r>
                                        <w:rPr>
                                          <w:rFonts w:ascii="Cambria Math" w:hAnsi="Cambria Math"/>
                                        </w:rPr>
                                        <m:t>Services</m:t>
                                      </m:r>
                                    </m:e>
                                    <m:sup>
                                      <m:r>
                                        <w:rPr>
                                          <w:rFonts w:ascii="Cambria Math" w:hAnsi="Cambria Math"/>
                                        </w:rPr>
                                        <m:t>p</m:t>
                                      </m:r>
                                      <m:r>
                                        <m:rPr>
                                          <m:sty m:val="p"/>
                                        </m:rPr>
                                        <w:rPr>
                                          <w:rFonts w:ascii="Cambria Math" w:hAnsi="Cambria Math"/>
                                        </w:rPr>
                                        <m:t xml:space="preserve"> </m:t>
                                      </m:r>
                                      <m:r>
                                        <w:rPr>
                                          <w:rFonts w:ascii="Cambria Math" w:hAnsi="Cambria Math"/>
                                        </w:rPr>
                                        <m:t>yr</m:t>
                                      </m:r>
                                      <m:r>
                                        <m:rPr>
                                          <m:sty m:val="p"/>
                                        </m:rPr>
                                        <w:rPr>
                                          <w:rFonts w:ascii="Cambria Math" w:hAnsi="Cambria Math"/>
                                        </w:rPr>
                                        <m:t xml:space="preserve"> </m:t>
                                      </m:r>
                                      <m:r>
                                        <w:rPr>
                                          <w:rFonts w:ascii="Cambria Math" w:hAnsi="Cambria Math"/>
                                        </w:rPr>
                                        <m:t>i</m:t>
                                      </m:r>
                                      <m:r>
                                        <m:rPr>
                                          <m:sty m:val="p"/>
                                        </m:rPr>
                                        <w:rPr>
                                          <w:rFonts w:ascii="Cambria Math" w:hAnsi="Cambria Math"/>
                                        </w:rPr>
                                        <m:t>-1</m:t>
                                      </m:r>
                                    </m:sup>
                                  </m:sSup>
                                </m:e>
                              </m:d>
                            </m:den>
                          </m:f>
                        </m:oMath>
                      </m:oMathPara>
                    </w:p>
                  </w:txbxContent>
                </v:textbox>
                <w10:anchorlock/>
              </v:shape>
            </w:pict>
          </mc:Fallback>
        </mc:AlternateContent>
      </w:r>
    </w:p>
    <w:p w14:paraId="37069732" w14:textId="77777777" w:rsidR="00734198" w:rsidRPr="00193298" w:rsidRDefault="009A3670" w:rsidP="00410F88">
      <w:pPr>
        <w:pStyle w:val="Heading1"/>
        <w:rPr>
          <w:rFonts w:asciiTheme="minorHAnsi" w:eastAsia="Times New Roman" w:hAnsiTheme="minorHAnsi" w:cstheme="minorHAnsi"/>
          <w:lang w:eastAsia="en-AU"/>
        </w:rPr>
      </w:pPr>
      <w:bookmarkStart w:id="16" w:name="_Toc127529771"/>
      <w:bookmarkStart w:id="17" w:name="_Toc159181242"/>
      <w:r w:rsidRPr="00193298">
        <w:rPr>
          <w:rFonts w:asciiTheme="minorHAnsi" w:eastAsia="Times New Roman" w:hAnsiTheme="minorHAnsi" w:cstheme="minorHAnsi"/>
          <w:lang w:eastAsia="en-AU"/>
        </w:rPr>
        <w:t>Broad Type of Service</w:t>
      </w:r>
      <w:bookmarkEnd w:id="16"/>
      <w:bookmarkEnd w:id="17"/>
    </w:p>
    <w:p w14:paraId="12E32272" w14:textId="0C2424E8" w:rsidR="00C51E75" w:rsidRPr="00193298" w:rsidRDefault="001F1A06" w:rsidP="00D24622">
      <w:r w:rsidRPr="00193298">
        <w:t xml:space="preserve">Medicare statistics are </w:t>
      </w:r>
      <w:r w:rsidR="00ED7287" w:rsidRPr="00193298">
        <w:t xml:space="preserve">grouped to </w:t>
      </w:r>
      <w:r w:rsidRPr="00193298">
        <w:t>Broad Type of Service (BTOS) categories. Each BTOS category typically comprises a set of related groups of MBS items (for example, GP Attendances, Specialist Attendances, Operations, etc.).</w:t>
      </w:r>
    </w:p>
    <w:p w14:paraId="25C4F43F" w14:textId="4EA13C38" w:rsidR="0048038C" w:rsidRDefault="0048038C" w:rsidP="00410F88">
      <w:pPr>
        <w:pStyle w:val="Heading1"/>
        <w:rPr>
          <w:rFonts w:asciiTheme="minorHAnsi" w:hAnsiTheme="minorHAnsi" w:cstheme="minorHAnsi"/>
        </w:rPr>
      </w:pPr>
      <w:bookmarkStart w:id="18" w:name="_Toc127529772"/>
      <w:bookmarkStart w:id="19" w:name="_Toc159181243"/>
      <w:r>
        <w:rPr>
          <w:rFonts w:asciiTheme="minorHAnsi" w:hAnsiTheme="minorHAnsi" w:cstheme="minorHAnsi"/>
        </w:rPr>
        <w:t>Primary Care Service Type</w:t>
      </w:r>
      <w:bookmarkEnd w:id="19"/>
    </w:p>
    <w:p w14:paraId="232B5B84" w14:textId="2BADFA6D" w:rsidR="0048038C" w:rsidRPr="0048038C" w:rsidRDefault="0099413C" w:rsidP="00D24622">
      <w:r>
        <w:t xml:space="preserve">An alternative </w:t>
      </w:r>
      <w:r w:rsidR="00C134E0">
        <w:t xml:space="preserve">classification for </w:t>
      </w:r>
      <w:r w:rsidRPr="00193298">
        <w:t xml:space="preserve">Medicare statistics </w:t>
      </w:r>
      <w:r w:rsidR="00C134E0">
        <w:t>is Primary Care Service Types (PCST)</w:t>
      </w:r>
      <w:r w:rsidRPr="00193298">
        <w:t xml:space="preserve">. </w:t>
      </w:r>
      <w:r w:rsidR="00A67FA8" w:rsidRPr="00D24622">
        <w:t>The PCST classification provides 16 categories for reporting against primary care items: covering GP and Practice Nurse non-referred attendances, Other Allied Health and Optometry plus Bulk Billing Incentives and Nurse Practitioner items. </w:t>
      </w:r>
    </w:p>
    <w:p w14:paraId="2EAD3B9E" w14:textId="6FEE5878" w:rsidR="0004324C" w:rsidRPr="00193298" w:rsidRDefault="0004324C" w:rsidP="00410F88">
      <w:pPr>
        <w:pStyle w:val="Heading1"/>
        <w:rPr>
          <w:rFonts w:asciiTheme="minorHAnsi" w:hAnsiTheme="minorHAnsi" w:cstheme="minorHAnsi"/>
        </w:rPr>
      </w:pPr>
      <w:bookmarkStart w:id="20" w:name="_Toc159181244"/>
      <w:r w:rsidRPr="00193298">
        <w:rPr>
          <w:rFonts w:asciiTheme="minorHAnsi" w:hAnsiTheme="minorHAnsi" w:cstheme="minorHAnsi"/>
        </w:rPr>
        <w:t>In-Hospital versus Out-of-hospital</w:t>
      </w:r>
      <w:bookmarkEnd w:id="18"/>
      <w:bookmarkEnd w:id="20"/>
    </w:p>
    <w:p w14:paraId="46D4EBD3" w14:textId="77777777" w:rsidR="00271FC5" w:rsidRPr="00193298" w:rsidRDefault="00DB17F5" w:rsidP="00D24622">
      <w:r w:rsidRPr="00193298">
        <w:t>Medicare data distinguishes between services provided to privately admitted patients within a hospital or a day surgery facility and services provided out-of-hospital</w:t>
      </w:r>
      <w:r w:rsidR="00271FC5" w:rsidRPr="00193298">
        <w:t xml:space="preserve"> (for example, practitioners’ consulting rooms). </w:t>
      </w:r>
    </w:p>
    <w:p w14:paraId="7167C5CE" w14:textId="77777777" w:rsidR="005B26B9" w:rsidRPr="00193298" w:rsidRDefault="00DB17F5" w:rsidP="00D24622">
      <w:r w:rsidRPr="00193298">
        <w:t>For in-hospital services, all patients are private admissions with the distinction that a patient can be a private patient in a private hospital or a private patient in a public hospital.</w:t>
      </w:r>
      <w:r w:rsidR="00271FC5" w:rsidRPr="00193298">
        <w:t xml:space="preserve"> </w:t>
      </w:r>
    </w:p>
    <w:p w14:paraId="351C6CF8" w14:textId="77777777" w:rsidR="00F6784E" w:rsidRPr="00193298" w:rsidRDefault="00F6784E" w:rsidP="00410F88">
      <w:pPr>
        <w:pStyle w:val="Heading1"/>
        <w:rPr>
          <w:rFonts w:asciiTheme="minorHAnsi" w:hAnsiTheme="minorHAnsi" w:cstheme="minorHAnsi"/>
        </w:rPr>
      </w:pPr>
      <w:bookmarkStart w:id="21" w:name="_Toc127529773"/>
      <w:bookmarkStart w:id="22" w:name="_Toc159181245"/>
      <w:r w:rsidRPr="00193298">
        <w:rPr>
          <w:rFonts w:asciiTheme="minorHAnsi" w:hAnsiTheme="minorHAnsi" w:cstheme="minorHAnsi"/>
        </w:rPr>
        <w:t>Patient Billing</w:t>
      </w:r>
      <w:bookmarkEnd w:id="21"/>
      <w:bookmarkEnd w:id="22"/>
    </w:p>
    <w:p w14:paraId="1E8D26C2" w14:textId="77777777" w:rsidR="005B26B9" w:rsidRPr="00193298" w:rsidRDefault="005B26B9" w:rsidP="00410F88">
      <w:pPr>
        <w:pStyle w:val="Heading2"/>
        <w:rPr>
          <w:rFonts w:cstheme="minorHAnsi"/>
        </w:rPr>
      </w:pPr>
      <w:bookmarkStart w:id="23" w:name="_Toc127529774"/>
      <w:bookmarkStart w:id="24" w:name="_Toc159181246"/>
      <w:r w:rsidRPr="00193298">
        <w:rPr>
          <w:rFonts w:cstheme="minorHAnsi"/>
        </w:rPr>
        <w:t xml:space="preserve">Bulk Billed versus Patient Billed </w:t>
      </w:r>
      <w:r w:rsidR="00681256" w:rsidRPr="00193298">
        <w:rPr>
          <w:rFonts w:cstheme="minorHAnsi"/>
        </w:rPr>
        <w:t>Services</w:t>
      </w:r>
      <w:bookmarkEnd w:id="23"/>
      <w:bookmarkEnd w:id="24"/>
    </w:p>
    <w:p w14:paraId="72BC12E4" w14:textId="196AB3F1" w:rsidR="00C140B4" w:rsidRPr="00193298" w:rsidRDefault="005B26B9" w:rsidP="00D24622">
      <w:r w:rsidRPr="00193298">
        <w:t>Bulk Billed (</w:t>
      </w:r>
      <w:r w:rsidR="002C06B9">
        <w:t>d</w:t>
      </w:r>
      <w:r w:rsidRPr="00193298">
        <w:t>irect billed) claims are when the provider of the service accepts the Medicare benefit as full payment for the service. This occurs when the patient assigns their right to the benefit to the provider. There is no out-of-pocket cost for these services.</w:t>
      </w:r>
    </w:p>
    <w:p w14:paraId="55732916" w14:textId="4E488478" w:rsidR="00C140B4" w:rsidRPr="00193298" w:rsidRDefault="005B26B9" w:rsidP="00D24622">
      <w:r w:rsidRPr="00193298">
        <w:t xml:space="preserve">Patient </w:t>
      </w:r>
      <w:r w:rsidR="0016793C">
        <w:t>b</w:t>
      </w:r>
      <w:r w:rsidRPr="00193298">
        <w:t>illed claims are when the provider of the service does not accept the Medicare benefit as full payment for the service. There is usually an out-of-pocket cost for these services.</w:t>
      </w:r>
    </w:p>
    <w:p w14:paraId="7E4DD8B3" w14:textId="7EA82E67" w:rsidR="005B26B9" w:rsidRPr="00193298" w:rsidRDefault="005B26B9" w:rsidP="00410F88">
      <w:pPr>
        <w:pStyle w:val="Heading3"/>
        <w:rPr>
          <w:rFonts w:cstheme="minorHAnsi"/>
        </w:rPr>
      </w:pPr>
      <w:bookmarkStart w:id="25" w:name="_Toc127529775"/>
      <w:bookmarkStart w:id="26" w:name="_Toc159181247"/>
      <w:r w:rsidRPr="00193298">
        <w:rPr>
          <w:rFonts w:cstheme="minorHAnsi"/>
        </w:rPr>
        <w:t>Calculation of Bulk Billing Rate</w:t>
      </w:r>
      <w:bookmarkEnd w:id="25"/>
      <w:bookmarkEnd w:id="26"/>
    </w:p>
    <w:p w14:paraId="68D451CB" w14:textId="15091118" w:rsidR="00C958FB" w:rsidRPr="00193298" w:rsidRDefault="00C958FB" w:rsidP="00D24622">
      <w:r w:rsidRPr="00193298">
        <w:rPr>
          <w:noProof/>
        </w:rPr>
        <mc:AlternateContent>
          <mc:Choice Requires="wps">
            <w:drawing>
              <wp:inline distT="0" distB="0" distL="0" distR="0" wp14:anchorId="48430896" wp14:editId="48F991B1">
                <wp:extent cx="3762375" cy="571500"/>
                <wp:effectExtent l="0" t="0" r="9525" b="0"/>
                <wp:docPr id="5" name="Text Box 5" descr="&quot;Bulk Billing Rate&quot;=  &quot;Number of Services Bulk-Billed&quot; /&quot;Total Number of Services&quot; "/>
                <wp:cNvGraphicFramePr/>
                <a:graphic xmlns:a="http://schemas.openxmlformats.org/drawingml/2006/main">
                  <a:graphicData uri="http://schemas.microsoft.com/office/word/2010/wordprocessingShape">
                    <wps:wsp>
                      <wps:cNvSpPr txBox="1"/>
                      <wps:spPr>
                        <a:xfrm>
                          <a:off x="0" y="0"/>
                          <a:ext cx="3762375" cy="571500"/>
                        </a:xfrm>
                        <a:prstGeom prst="rect">
                          <a:avLst/>
                        </a:prstGeom>
                        <a:solidFill>
                          <a:srgbClr val="EAEDF2"/>
                        </a:solidFill>
                        <a:ln w="6350">
                          <a:noFill/>
                        </a:ln>
                      </wps:spPr>
                      <wps:txbx>
                        <w:txbxContent>
                          <w:p w14:paraId="65F0860F" w14:textId="72D41D17" w:rsidR="00C958FB" w:rsidRDefault="00C958FB" w:rsidP="00D24622">
                            <m:oMathPara>
                              <m:oMath>
                                <m:r>
                                  <m:rPr>
                                    <m:nor/>
                                  </m:rPr>
                                  <m:t>Bulk Billing Rate</m:t>
                                </m:r>
                                <m:r>
                                  <w:rPr>
                                    <w:rFonts w:ascii="Cambria Math" w:hAnsi="Cambria Math"/>
                                  </w:rPr>
                                  <m:t xml:space="preserve">= </m:t>
                                </m:r>
                                <m:f>
                                  <m:fPr>
                                    <m:ctrlPr>
                                      <w:rPr>
                                        <w:rFonts w:ascii="Cambria Math" w:hAnsi="Cambria Math"/>
                                        <w:i/>
                                      </w:rPr>
                                    </m:ctrlPr>
                                  </m:fPr>
                                  <m:num>
                                    <m:r>
                                      <m:rPr>
                                        <m:nor/>
                                      </m:rPr>
                                      <m:t>Number of Services Bulk-Billed</m:t>
                                    </m:r>
                                  </m:num>
                                  <m:den>
                                    <m:r>
                                      <m:rPr>
                                        <m:nor/>
                                      </m:rPr>
                                      <m:t>Total Number of Services</m:t>
                                    </m:r>
                                  </m:den>
                                </m:f>
                                <m:r>
                                  <w:rPr>
                                    <w:rFonts w:ascii="Cambria Math" w:hAnsi="Cambria Math"/>
                                  </w:rPr>
                                  <m:t xml:space="preserve"> x 100</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8430896" id="Text Box 5" o:spid="_x0000_s1028" type="#_x0000_t202" alt="&quot;Bulk Billing Rate&quot;=  &quot;Number of Services Bulk-Billed&quot; /&quot;Total Number of Services&quot; " style="width:296.2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" fillcolor="#eaedf2" stroked="f" strokeweight=".5pt">
                <v:textbox>
                  <w:txbxContent>
                    <w:p w14:paraId="65F0860F" w14:textId="72D41D17" w:rsidR="00C958FB" w:rsidRDefault="00C958FB" w:rsidP="00D24622">
                      <m:oMathPara>
                        <m:oMath>
                          <m:r>
                            <m:rPr>
                              <m:nor/>
                            </m:rPr>
                            <m:t>Bulk Billing Rate</m:t>
                          </m:r>
                          <m:r>
                            <w:rPr>
                              <w:rFonts w:ascii="Cambria Math" w:hAnsi="Cambria Math"/>
                            </w:rPr>
                            <m:t xml:space="preserve">= </m:t>
                          </m:r>
                          <m:f>
                            <m:fPr>
                              <m:ctrlPr>
                                <w:rPr>
                                  <w:rFonts w:ascii="Cambria Math" w:hAnsi="Cambria Math"/>
                                  <w:i/>
                                </w:rPr>
                              </m:ctrlPr>
                            </m:fPr>
                            <m:num>
                              <m:r>
                                <m:rPr>
                                  <m:nor/>
                                </m:rPr>
                                <m:t>Number of Services Bulk-Billed</m:t>
                              </m:r>
                            </m:num>
                            <m:den>
                              <m:r>
                                <m:rPr>
                                  <m:nor/>
                                </m:rPr>
                                <m:t>Total Number of Services</m:t>
                              </m:r>
                            </m:den>
                          </m:f>
                          <m:r>
                            <w:rPr>
                              <w:rFonts w:ascii="Cambria Math" w:hAnsi="Cambria Math"/>
                            </w:rPr>
                            <m:t xml:space="preserve"> x 100</m:t>
                          </m:r>
                        </m:oMath>
                      </m:oMathPara>
                    </w:p>
                  </w:txbxContent>
                </v:textbox>
                <w10:anchorlock/>
              </v:shape>
            </w:pict>
          </mc:Fallback>
        </mc:AlternateContent>
      </w:r>
    </w:p>
    <w:p w14:paraId="1A40003D" w14:textId="77777777" w:rsidR="00A64CDB" w:rsidRPr="00193298" w:rsidRDefault="00A64CDB" w:rsidP="00410F88">
      <w:pPr>
        <w:pStyle w:val="Heading2"/>
        <w:rPr>
          <w:rFonts w:cstheme="minorHAnsi"/>
        </w:rPr>
      </w:pPr>
      <w:bookmarkStart w:id="27" w:name="_Toc159181248"/>
      <w:r w:rsidRPr="00193298">
        <w:rPr>
          <w:rFonts w:cstheme="minorHAnsi"/>
        </w:rPr>
        <w:lastRenderedPageBreak/>
        <w:t>Bulk Billing Ranges</w:t>
      </w:r>
      <w:bookmarkEnd w:id="27"/>
    </w:p>
    <w:p w14:paraId="04444FAA" w14:textId="682A4BB4" w:rsidR="008854AE" w:rsidRPr="00193298" w:rsidRDefault="00A64CDB" w:rsidP="00D24622">
      <w:r w:rsidRPr="00193298">
        <w:t xml:space="preserve">Many patients have more than one Medicare service in a given period (e.g., a financial year). The bulk billing range refers to how frequently each patient was bulk billed that given period. </w:t>
      </w:r>
      <w:r w:rsidR="00775794" w:rsidRPr="00193298">
        <w:t>These are categorised as always (100%), usually (50% to &lt;100%), sometimes (&gt;0% to &lt;50%), and never (0%) bulk billed. The number of patients is each category is then divided by all patients to produce a proportion of patients who fall in each category.</w:t>
      </w:r>
    </w:p>
    <w:p w14:paraId="2C2E36ED" w14:textId="77777777" w:rsidR="0090466D" w:rsidRPr="00193298" w:rsidRDefault="0090466D" w:rsidP="00410F88">
      <w:pPr>
        <w:pStyle w:val="Heading2"/>
        <w:rPr>
          <w:rFonts w:eastAsia="Times New Roman" w:cstheme="minorHAnsi"/>
          <w:bCs/>
          <w:color w:val="000000"/>
          <w:lang w:eastAsia="en-AU"/>
        </w:rPr>
      </w:pPr>
      <w:bookmarkStart w:id="28" w:name="_Toc127529776"/>
      <w:bookmarkStart w:id="29" w:name="_Toc159181249"/>
      <w:r w:rsidRPr="00193298">
        <w:rPr>
          <w:rFonts w:cstheme="minorHAnsi"/>
        </w:rPr>
        <w:t>Average Patient Contribution per Service</w:t>
      </w:r>
      <w:bookmarkEnd w:id="28"/>
      <w:bookmarkEnd w:id="29"/>
      <w:r w:rsidRPr="00193298">
        <w:rPr>
          <w:rFonts w:eastAsia="Times New Roman" w:cstheme="minorHAnsi"/>
          <w:color w:val="000000"/>
          <w:lang w:eastAsia="en-AU"/>
        </w:rPr>
        <w:t xml:space="preserve"> </w:t>
      </w:r>
    </w:p>
    <w:p w14:paraId="0CB09718" w14:textId="77777777" w:rsidR="00C140B4" w:rsidRPr="00193298" w:rsidRDefault="00271FC5" w:rsidP="00D24622">
      <w:r w:rsidRPr="00193298">
        <w:t>T</w:t>
      </w:r>
      <w:r w:rsidR="00896CB1" w:rsidRPr="00193298">
        <w:t xml:space="preserve">he average patient contribution, also known as the average out-of-pocket, </w:t>
      </w:r>
      <w:r w:rsidR="0090466D" w:rsidRPr="00193298">
        <w:t xml:space="preserve">is </w:t>
      </w:r>
      <w:r w:rsidR="00701237" w:rsidRPr="00193298">
        <w:t xml:space="preserve">based on </w:t>
      </w:r>
      <w:r w:rsidR="0090466D" w:rsidRPr="00193298">
        <w:t>patient billed services rendered out</w:t>
      </w:r>
      <w:r w:rsidR="00CC34C3" w:rsidRPr="00193298">
        <w:t>-</w:t>
      </w:r>
      <w:r w:rsidR="0090466D" w:rsidRPr="00193298">
        <w:t>of</w:t>
      </w:r>
      <w:r w:rsidR="00CC34C3" w:rsidRPr="00193298">
        <w:t>-</w:t>
      </w:r>
      <w:r w:rsidR="0090466D" w:rsidRPr="00193298">
        <w:t xml:space="preserve">hospital. </w:t>
      </w:r>
    </w:p>
    <w:p w14:paraId="6ADFD3B7" w14:textId="190C9821" w:rsidR="00410F88" w:rsidRPr="00193298" w:rsidRDefault="00CC34C3" w:rsidP="00D24622">
      <w:r w:rsidRPr="00193298">
        <w:t xml:space="preserve">The average patient contribution is not calculated for in-hospital services as Medicare data does not include any information on the contribution from private health insurance. </w:t>
      </w:r>
      <w:bookmarkStart w:id="30" w:name="_Toc127529777"/>
    </w:p>
    <w:p w14:paraId="4B31024E" w14:textId="247B359B" w:rsidR="00CC34C3" w:rsidRPr="00193298" w:rsidRDefault="00CC34C3" w:rsidP="00410F88">
      <w:pPr>
        <w:pStyle w:val="Heading3"/>
        <w:rPr>
          <w:rFonts w:cstheme="minorHAnsi"/>
        </w:rPr>
      </w:pPr>
      <w:bookmarkStart w:id="31" w:name="_Toc159181250"/>
      <w:r w:rsidRPr="00193298">
        <w:rPr>
          <w:rFonts w:cstheme="minorHAnsi"/>
        </w:rPr>
        <w:t>Calculation of Average Patient Contribution</w:t>
      </w:r>
      <w:bookmarkEnd w:id="30"/>
      <w:bookmarkEnd w:id="31"/>
    </w:p>
    <w:p w14:paraId="7B4BEB95" w14:textId="4FC5181E" w:rsidR="00523381" w:rsidRPr="00193298" w:rsidRDefault="00523381" w:rsidP="00D24622">
      <w:pPr>
        <w:rPr>
          <w:rFonts w:eastAsiaTheme="minorEastAsia"/>
        </w:rPr>
      </w:pPr>
      <w:r w:rsidRPr="00193298">
        <w:rPr>
          <w:noProof/>
        </w:rPr>
        <mc:AlternateContent>
          <mc:Choice Requires="wps">
            <w:drawing>
              <wp:inline distT="0" distB="0" distL="0" distR="0" wp14:anchorId="38156960" wp14:editId="452A8FF6">
                <wp:extent cx="4162425" cy="581025"/>
                <wp:effectExtent l="0" t="0" r="9525" b="9525"/>
                <wp:docPr id="3" name="Text Box 3" descr="&quot;Average Patient Contribution&quot;=  &quot;((FC PB OOH) - (BP PB OOH))&quot; /&quot;Services PB OOH &quot; "/>
                <wp:cNvGraphicFramePr/>
                <a:graphic xmlns:a="http://schemas.openxmlformats.org/drawingml/2006/main">
                  <a:graphicData uri="http://schemas.microsoft.com/office/word/2010/wordprocessingShape">
                    <wps:wsp>
                      <wps:cNvSpPr txBox="1"/>
                      <wps:spPr>
                        <a:xfrm>
                          <a:off x="0" y="0"/>
                          <a:ext cx="4162425" cy="581025"/>
                        </a:xfrm>
                        <a:prstGeom prst="rect">
                          <a:avLst/>
                        </a:prstGeom>
                        <a:solidFill>
                          <a:srgbClr val="EAEDF2"/>
                        </a:solidFill>
                        <a:ln w="6350">
                          <a:noFill/>
                        </a:ln>
                      </wps:spPr>
                      <wps:txbx>
                        <w:txbxContent>
                          <w:p w14:paraId="1ABA8FE2" w14:textId="16882018" w:rsidR="00523381" w:rsidRDefault="00523381" w:rsidP="00D24622">
                            <m:oMathPara>
                              <m:oMath>
                                <m:r>
                                  <m:rPr>
                                    <m:nor/>
                                  </m:rPr>
                                  <m:t>Average Patient Contribution</m:t>
                                </m:r>
                                <m:r>
                                  <w:rPr>
                                    <w:rFonts w:ascii="Cambria Math" w:hAnsi="Cambria Math"/>
                                  </w:rPr>
                                  <m:t xml:space="preserve">= </m:t>
                                </m:r>
                                <m:f>
                                  <m:fPr>
                                    <m:ctrlPr>
                                      <w:rPr>
                                        <w:rFonts w:ascii="Cambria Math" w:hAnsi="Cambria Math"/>
                                        <w:i/>
                                      </w:rPr>
                                    </m:ctrlPr>
                                  </m:fPr>
                                  <m:num>
                                    <m:r>
                                      <m:rPr>
                                        <m:nor/>
                                      </m:rPr>
                                      <m:t>((FC PB OOH) - (BP PB OOH))</m:t>
                                    </m:r>
                                  </m:num>
                                  <m:den>
                                    <m:r>
                                      <m:rPr>
                                        <m:nor/>
                                      </m:rPr>
                                      <m:t xml:space="preserve">Services PB OOH </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8156960" id="Text Box 3" o:spid="_x0000_s1029" type="#_x0000_t202" alt="&quot;Average Patient Contribution&quot;=  &quot;((FC PB OOH) - (BP PB OOH))&quot; /&quot;Services PB OOH &quot; " style="width:327.75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" fillcolor="#eaedf2" stroked="f" strokeweight=".5pt">
                <v:textbox>
                  <w:txbxContent>
                    <w:p w14:paraId="1ABA8FE2" w14:textId="16882018" w:rsidR="00523381" w:rsidRDefault="00523381" w:rsidP="00D24622">
                      <m:oMathPara>
                        <m:oMath>
                          <m:r>
                            <m:rPr>
                              <m:nor/>
                            </m:rPr>
                            <m:t>Average Patient Contribution</m:t>
                          </m:r>
                          <m:r>
                            <w:rPr>
                              <w:rFonts w:ascii="Cambria Math" w:hAnsi="Cambria Math"/>
                            </w:rPr>
                            <m:t xml:space="preserve">= </m:t>
                          </m:r>
                          <m:f>
                            <m:fPr>
                              <m:ctrlPr>
                                <w:rPr>
                                  <w:rFonts w:ascii="Cambria Math" w:hAnsi="Cambria Math"/>
                                  <w:i/>
                                </w:rPr>
                              </m:ctrlPr>
                            </m:fPr>
                            <m:num>
                              <m:r>
                                <m:rPr>
                                  <m:nor/>
                                </m:rPr>
                                <m:t>((FC PB OOH) - (BP PB OOH))</m:t>
                              </m:r>
                            </m:num>
                            <m:den>
                              <m:r>
                                <m:rPr>
                                  <m:nor/>
                                </m:rPr>
                                <m:t xml:space="preserve">Services PB OOH </m:t>
                              </m:r>
                            </m:den>
                          </m:f>
                        </m:oMath>
                      </m:oMathPara>
                    </w:p>
                  </w:txbxContent>
                </v:textbox>
                <w10:anchorlock/>
              </v:shape>
            </w:pict>
          </mc:Fallback>
        </mc:AlternateContent>
      </w:r>
    </w:p>
    <w:p w14:paraId="4B35F016" w14:textId="079502F3" w:rsidR="00CC34C3" w:rsidRPr="00193298" w:rsidRDefault="00766B13" w:rsidP="00D24622">
      <w:r w:rsidRPr="00193298">
        <w:t>W</w:t>
      </w:r>
      <w:r w:rsidR="00CC34C3" w:rsidRPr="00193298">
        <w:t>here</w:t>
      </w:r>
      <w:r w:rsidR="00523381" w:rsidRPr="00193298">
        <w:t>:</w:t>
      </w:r>
    </w:p>
    <w:p w14:paraId="6F4850CF" w14:textId="6AF4D6A5" w:rsidR="00CC34C3" w:rsidRPr="00193298" w:rsidRDefault="00CC34C3" w:rsidP="00D24622">
      <w:r w:rsidRPr="00193298">
        <w:t xml:space="preserve">FC PB OOH </w:t>
      </w:r>
      <w:r w:rsidR="003B2084" w:rsidRPr="00193298">
        <w:tab/>
      </w:r>
      <w:r w:rsidR="002B7EFF" w:rsidRPr="00193298">
        <w:tab/>
      </w:r>
      <w:r w:rsidRPr="00193298">
        <w:t xml:space="preserve">= </w:t>
      </w:r>
      <w:r w:rsidR="003B2084" w:rsidRPr="00193298">
        <w:tab/>
      </w:r>
      <w:r w:rsidRPr="00193298">
        <w:t>total fee charge for patient billed services rendered out-of-hospital</w:t>
      </w:r>
    </w:p>
    <w:p w14:paraId="445106B7" w14:textId="4166D557" w:rsidR="00766B13" w:rsidRPr="00193298" w:rsidRDefault="00766B13" w:rsidP="00D24622">
      <w:r w:rsidRPr="00193298">
        <w:t xml:space="preserve">BP PB OOH </w:t>
      </w:r>
      <w:r w:rsidR="003B2084" w:rsidRPr="00193298">
        <w:tab/>
      </w:r>
      <w:r w:rsidR="002B7EFF" w:rsidRPr="00193298">
        <w:tab/>
      </w:r>
      <w:r w:rsidRPr="00193298">
        <w:t xml:space="preserve">= </w:t>
      </w:r>
      <w:r w:rsidR="003B2084" w:rsidRPr="00193298">
        <w:tab/>
      </w:r>
      <w:r w:rsidRPr="00193298">
        <w:t>total benefit paid for patient billed services rendered out-of-hospital</w:t>
      </w:r>
    </w:p>
    <w:p w14:paraId="5BACD552" w14:textId="09B52A28" w:rsidR="00C140B4" w:rsidRPr="00193298" w:rsidRDefault="00766B13" w:rsidP="00D24622">
      <w:r w:rsidRPr="00193298">
        <w:t xml:space="preserve">Services PB OOH </w:t>
      </w:r>
      <w:r w:rsidR="00C958FB" w:rsidRPr="00193298">
        <w:tab/>
      </w:r>
      <w:r w:rsidRPr="00193298">
        <w:t xml:space="preserve">= </w:t>
      </w:r>
      <w:r w:rsidR="003B2084" w:rsidRPr="00193298">
        <w:tab/>
      </w:r>
      <w:r w:rsidRPr="00193298">
        <w:t xml:space="preserve">total number of </w:t>
      </w:r>
      <w:proofErr w:type="gramStart"/>
      <w:r w:rsidRPr="00193298">
        <w:t>patient</w:t>
      </w:r>
      <w:proofErr w:type="gramEnd"/>
      <w:r w:rsidRPr="00193298">
        <w:t xml:space="preserve"> billed services rendered out-of-hospital</w:t>
      </w:r>
    </w:p>
    <w:p w14:paraId="2D39287D" w14:textId="61A9B359" w:rsidR="00C140B4" w:rsidRPr="00193298" w:rsidRDefault="0090466D" w:rsidP="00D24622">
      <w:r w:rsidRPr="00193298">
        <w:t xml:space="preserve">For Total Medicare, the number of services excludes BTOS Pathology Episode Initiation to avoid double counting, since a Pathology Episode Initiation is assigned to each patient episode, therefore only the service for </w:t>
      </w:r>
      <w:r w:rsidR="0048624C" w:rsidRPr="00193298">
        <w:t xml:space="preserve">the </w:t>
      </w:r>
      <w:r w:rsidRPr="00193298">
        <w:t xml:space="preserve">pathology test item is counted. </w:t>
      </w:r>
    </w:p>
    <w:p w14:paraId="5008DAD9" w14:textId="78BB7D9C" w:rsidR="0090466D" w:rsidRPr="00193298" w:rsidRDefault="0090466D" w:rsidP="00D24622">
      <w:r w:rsidRPr="00193298">
        <w:t xml:space="preserve">For patient billed services, the fee charged reflects the amount recorded on the account, not necessarily the amount received by the medical practitioner, since some practitioners accept the Medicare benefit as full settlement of the account and some discount for early payment. </w:t>
      </w:r>
    </w:p>
    <w:p w14:paraId="7EC0946A" w14:textId="7ED7C0BE" w:rsidR="005B26B9" w:rsidRPr="00193298" w:rsidRDefault="005B26B9" w:rsidP="00410F88">
      <w:pPr>
        <w:pStyle w:val="Heading1"/>
        <w:rPr>
          <w:rFonts w:asciiTheme="minorHAnsi" w:hAnsiTheme="minorHAnsi" w:cstheme="minorHAnsi"/>
        </w:rPr>
      </w:pPr>
      <w:bookmarkStart w:id="32" w:name="_Toc127529778"/>
      <w:bookmarkStart w:id="33" w:name="_Toc159181251"/>
      <w:r w:rsidRPr="00193298">
        <w:rPr>
          <w:rFonts w:asciiTheme="minorHAnsi" w:hAnsiTheme="minorHAnsi" w:cstheme="minorHAnsi"/>
        </w:rPr>
        <w:t>Geography</w:t>
      </w:r>
      <w:bookmarkEnd w:id="32"/>
      <w:bookmarkEnd w:id="33"/>
    </w:p>
    <w:p w14:paraId="0FE03B15" w14:textId="77777777" w:rsidR="00A64CDB" w:rsidRPr="00193298" w:rsidRDefault="00A64CDB" w:rsidP="00410F88">
      <w:pPr>
        <w:pStyle w:val="Heading2"/>
        <w:rPr>
          <w:rFonts w:cstheme="minorHAnsi"/>
        </w:rPr>
      </w:pPr>
      <w:bookmarkStart w:id="34" w:name="_Toc159181252"/>
      <w:r w:rsidRPr="00193298">
        <w:rPr>
          <w:rFonts w:cstheme="minorHAnsi"/>
        </w:rPr>
        <w:t>Primary Health Network (PHN)</w:t>
      </w:r>
      <w:bookmarkEnd w:id="34"/>
    </w:p>
    <w:p w14:paraId="0D5737AB" w14:textId="5766F04D" w:rsidR="00A64CDB" w:rsidRPr="00193298" w:rsidRDefault="00A64CDB" w:rsidP="00D24622">
      <w:r w:rsidRPr="00193298">
        <w:t>PHNs are independent organisations that the Department of Health and Aged Care funds to coordinate primary health care in their region. PHNs assess the needs of their community and commission health services so that people in their region can get coordinated health care where and when they need it.</w:t>
      </w:r>
    </w:p>
    <w:p w14:paraId="231D9610" w14:textId="16BE2B8B" w:rsidR="00A64CDB" w:rsidRPr="00193298" w:rsidRDefault="00A64CDB" w:rsidP="00D24622">
      <w:r w:rsidRPr="00193298">
        <w:t xml:space="preserve">For more information on PHNs: https://www.health.gov.au/our-work/phn. </w:t>
      </w:r>
    </w:p>
    <w:p w14:paraId="12B70BB4" w14:textId="77777777" w:rsidR="000F6F96" w:rsidRPr="00193298" w:rsidRDefault="000F6F96" w:rsidP="000F6F96">
      <w:pPr>
        <w:pStyle w:val="Heading2"/>
        <w:rPr>
          <w:rFonts w:cstheme="minorHAnsi"/>
        </w:rPr>
      </w:pPr>
      <w:bookmarkStart w:id="35" w:name="_Toc127529779"/>
      <w:bookmarkStart w:id="36" w:name="_Toc159181253"/>
      <w:r w:rsidRPr="00193298">
        <w:rPr>
          <w:rFonts w:cstheme="minorHAnsi"/>
        </w:rPr>
        <w:t>Socio-Economic Indexes for Areas (SEIFA)</w:t>
      </w:r>
      <w:bookmarkEnd w:id="36"/>
    </w:p>
    <w:p w14:paraId="1348BE9A" w14:textId="77777777" w:rsidR="000F6F96" w:rsidRPr="00193298" w:rsidRDefault="000F6F96" w:rsidP="00D24622">
      <w:r w:rsidRPr="00193298">
        <w:t xml:space="preserve">SEIFA is a set of four indexes developed by the ABS based on information from the 5-yearly Census. The statistics published in the Medicare statistics collection uses only one of the indexes: the index of relative socio-economic disadvantage (IRSD). This index ranks areas (based on Statistical Area 1) by their relative </w:t>
      </w:r>
      <w:r w:rsidRPr="00193298">
        <w:lastRenderedPageBreak/>
        <w:t>disadvantage; from most disadvantaged to least disadvantaged. Some of the variables used in the IRSD include lower educational attainment, lower income, and unemployment.</w:t>
      </w:r>
    </w:p>
    <w:p w14:paraId="68C4D4FD" w14:textId="77777777" w:rsidR="000F6F96" w:rsidRPr="00193298" w:rsidRDefault="000F6F96" w:rsidP="00D24622">
      <w:r w:rsidRPr="00193298">
        <w:t xml:space="preserve">More information on SEIFA can be found on the ABS website at: </w:t>
      </w:r>
      <w:hyperlink r:id="rId9" w:anchor="introduction" w:history="1">
        <w:r w:rsidRPr="00193298">
          <w:rPr>
            <w:rStyle w:val="Hyperlink"/>
          </w:rPr>
          <w:t>https://www.abs.gov.au/methodologies/socio-economic-indexes-areas-seifa-australia-methodology/2021#introduction</w:t>
        </w:r>
      </w:hyperlink>
      <w:r w:rsidRPr="00193298">
        <w:t xml:space="preserve"> </w:t>
      </w:r>
    </w:p>
    <w:p w14:paraId="3D0AA1B1" w14:textId="0FE541C9" w:rsidR="005B26B9" w:rsidRPr="00193298" w:rsidRDefault="005B26B9" w:rsidP="00410F88">
      <w:pPr>
        <w:pStyle w:val="Heading2"/>
        <w:rPr>
          <w:rFonts w:cstheme="minorHAnsi"/>
        </w:rPr>
      </w:pPr>
      <w:bookmarkStart w:id="37" w:name="_Toc159181254"/>
      <w:r w:rsidRPr="00193298">
        <w:rPr>
          <w:rFonts w:cstheme="minorHAnsi"/>
        </w:rPr>
        <w:t>Modified Monash</w:t>
      </w:r>
      <w:r w:rsidR="00A64CDB" w:rsidRPr="00193298">
        <w:rPr>
          <w:rFonts w:cstheme="minorHAnsi"/>
        </w:rPr>
        <w:t xml:space="preserve"> Model</w:t>
      </w:r>
      <w:r w:rsidRPr="00193298">
        <w:rPr>
          <w:rFonts w:cstheme="minorHAnsi"/>
        </w:rPr>
        <w:t xml:space="preserve"> (MMM)</w:t>
      </w:r>
      <w:bookmarkEnd w:id="35"/>
      <w:bookmarkEnd w:id="37"/>
    </w:p>
    <w:p w14:paraId="5BE9CE74" w14:textId="4A35231C" w:rsidR="005B26B9" w:rsidRPr="00193298" w:rsidRDefault="005B26B9" w:rsidP="00D24622">
      <w:r w:rsidRPr="00193298">
        <w:t xml:space="preserve">The MMM is a geographical classification that categorises different areas in Australia into seven remoteness categories. It was developed to better target health workforce programs to attract health professionals to remote and smaller communities. The MMM classifies metropolitan, regional, </w:t>
      </w:r>
      <w:r w:rsidR="001A7457" w:rsidRPr="00193298">
        <w:t>rural,</w:t>
      </w:r>
      <w:r w:rsidRPr="00193298">
        <w:t xml:space="preserve"> and remote areas according to geographical remoteness, as defined by the Australian Bureau of Statistics (ABS), and town size.</w:t>
      </w:r>
    </w:p>
    <w:p w14:paraId="33A21919" w14:textId="77777777" w:rsidR="005B26B9" w:rsidRPr="00193298" w:rsidRDefault="005B26B9" w:rsidP="00D24622">
      <w:r w:rsidRPr="00193298">
        <w:t xml:space="preserve">The MMM is used to determine eligibility for a range of health programs. </w:t>
      </w:r>
    </w:p>
    <w:tbl>
      <w:tblPr>
        <w:tblStyle w:val="ListTable3-Accent5"/>
        <w:tblW w:w="0" w:type="auto"/>
        <w:tblLook w:val="04A0" w:firstRow="1" w:lastRow="0" w:firstColumn="1" w:lastColumn="0" w:noHBand="0" w:noVBand="1"/>
        <w:tblCaption w:val="&quot;"/>
        <w:tblDescription w:val="&quot;"/>
      </w:tblPr>
      <w:tblGrid>
        <w:gridCol w:w="1823"/>
        <w:gridCol w:w="7635"/>
      </w:tblGrid>
      <w:tr w:rsidR="005B26B9" w:rsidRPr="00193298" w14:paraId="459670C4" w14:textId="77777777" w:rsidTr="005B58F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23" w:type="dxa"/>
          </w:tcPr>
          <w:p w14:paraId="6CA9AF91" w14:textId="13591861" w:rsidR="005B26B9" w:rsidRPr="00193298" w:rsidRDefault="005B26B9" w:rsidP="00D24622">
            <w:r w:rsidRPr="00193298">
              <w:t>Modified Monash Category</w:t>
            </w:r>
          </w:p>
        </w:tc>
        <w:tc>
          <w:tcPr>
            <w:tcW w:w="7635" w:type="dxa"/>
          </w:tcPr>
          <w:p w14:paraId="44C14590" w14:textId="77777777" w:rsidR="005B26B9" w:rsidRPr="00193298" w:rsidRDefault="005B26B9" w:rsidP="00D24622">
            <w:pPr>
              <w:cnfStyle w:val="100000000000" w:firstRow="1" w:lastRow="0" w:firstColumn="0" w:lastColumn="0" w:oddVBand="0" w:evenVBand="0" w:oddHBand="0" w:evenHBand="0" w:firstRowFirstColumn="0" w:firstRowLastColumn="0" w:lastRowFirstColumn="0" w:lastRowLastColumn="0"/>
            </w:pPr>
            <w:r w:rsidRPr="00193298">
              <w:t>Description (including the Australian Standard Geographical Classification (ASGS) – Remoteness Area (2016)</w:t>
            </w:r>
          </w:p>
        </w:tc>
      </w:tr>
      <w:tr w:rsidR="005B26B9" w:rsidRPr="00193298" w14:paraId="251947B2" w14:textId="77777777" w:rsidTr="005B58F2">
        <w:trPr>
          <w:cnfStyle w:val="000000100000" w:firstRow="0" w:lastRow="0" w:firstColumn="0" w:lastColumn="0" w:oddVBand="0" w:evenVBand="0" w:oddHBand="1" w:evenHBand="0" w:firstRowFirstColumn="0" w:firstRowLastColumn="0" w:lastRowFirstColumn="0" w:lastRowLastColumn="0"/>
          <w:trHeight w:val="793"/>
        </w:trPr>
        <w:tc>
          <w:tcPr>
            <w:cnfStyle w:val="001000000000" w:firstRow="0" w:lastRow="0" w:firstColumn="1" w:lastColumn="0" w:oddVBand="0" w:evenVBand="0" w:oddHBand="0" w:evenHBand="0" w:firstRowFirstColumn="0" w:firstRowLastColumn="0" w:lastRowFirstColumn="0" w:lastRowLastColumn="0"/>
            <w:tcW w:w="1823" w:type="dxa"/>
          </w:tcPr>
          <w:p w14:paraId="3770E5AC" w14:textId="77777777" w:rsidR="005B26B9" w:rsidRPr="00193298" w:rsidRDefault="005B26B9" w:rsidP="00D24622">
            <w:r w:rsidRPr="00193298">
              <w:t>MM 1</w:t>
            </w:r>
          </w:p>
        </w:tc>
        <w:tc>
          <w:tcPr>
            <w:tcW w:w="7635" w:type="dxa"/>
          </w:tcPr>
          <w:p w14:paraId="0127C27E" w14:textId="77777777" w:rsidR="005B26B9" w:rsidRPr="00193298" w:rsidRDefault="005B26B9" w:rsidP="00D24622">
            <w:pPr>
              <w:cnfStyle w:val="000000100000" w:firstRow="0" w:lastRow="0" w:firstColumn="0" w:lastColumn="0" w:oddVBand="0" w:evenVBand="0" w:oddHBand="1" w:evenHBand="0" w:firstRowFirstColumn="0" w:firstRowLastColumn="0" w:lastRowFirstColumn="0" w:lastRowLastColumn="0"/>
            </w:pPr>
            <w:r w:rsidRPr="00193298">
              <w:t>Metropolitan areas: Major cities accounting for 70% of Australia’s population.</w:t>
            </w:r>
          </w:p>
          <w:p w14:paraId="6D5D086E" w14:textId="77777777" w:rsidR="005B26B9" w:rsidRPr="00193298" w:rsidRDefault="005B26B9" w:rsidP="00D24622">
            <w:pPr>
              <w:cnfStyle w:val="000000100000" w:firstRow="0" w:lastRow="0" w:firstColumn="0" w:lastColumn="0" w:oddVBand="0" w:evenVBand="0" w:oddHBand="1" w:evenHBand="0" w:firstRowFirstColumn="0" w:firstRowLastColumn="0" w:lastRowFirstColumn="0" w:lastRowLastColumn="0"/>
            </w:pPr>
            <w:r w:rsidRPr="00193298">
              <w:t>All areas categorised ASGS-RA1</w:t>
            </w:r>
          </w:p>
        </w:tc>
      </w:tr>
      <w:tr w:rsidR="005B26B9" w:rsidRPr="00193298" w14:paraId="4BE6106C" w14:textId="77777777" w:rsidTr="005B58F2">
        <w:tc>
          <w:tcPr>
            <w:cnfStyle w:val="001000000000" w:firstRow="0" w:lastRow="0" w:firstColumn="1" w:lastColumn="0" w:oddVBand="0" w:evenVBand="0" w:oddHBand="0" w:evenHBand="0" w:firstRowFirstColumn="0" w:firstRowLastColumn="0" w:lastRowFirstColumn="0" w:lastRowLastColumn="0"/>
            <w:tcW w:w="1823" w:type="dxa"/>
          </w:tcPr>
          <w:p w14:paraId="55E02DB0" w14:textId="77777777" w:rsidR="005B26B9" w:rsidRPr="00193298" w:rsidRDefault="005B26B9" w:rsidP="00D24622">
            <w:r w:rsidRPr="00193298">
              <w:t>MM 2</w:t>
            </w:r>
          </w:p>
        </w:tc>
        <w:tc>
          <w:tcPr>
            <w:tcW w:w="7635" w:type="dxa"/>
          </w:tcPr>
          <w:p w14:paraId="1445915B" w14:textId="77777777" w:rsidR="005B26B9" w:rsidRPr="00193298" w:rsidRDefault="005B26B9" w:rsidP="00D24622">
            <w:pPr>
              <w:cnfStyle w:val="000000000000" w:firstRow="0" w:lastRow="0" w:firstColumn="0" w:lastColumn="0" w:oddVBand="0" w:evenVBand="0" w:oddHBand="0" w:evenHBand="0" w:firstRowFirstColumn="0" w:firstRowLastColumn="0" w:lastRowFirstColumn="0" w:lastRowLastColumn="0"/>
            </w:pPr>
            <w:r w:rsidRPr="00193298">
              <w:t xml:space="preserve">Regional centres: Inner (ASGS-RA 2) and Outer Regional (ASGS-RA 3) areas that are in, or within a 20km drive of a town with over 50,000 residents </w:t>
            </w:r>
          </w:p>
        </w:tc>
      </w:tr>
      <w:tr w:rsidR="005B26B9" w:rsidRPr="00193298" w14:paraId="119F3828" w14:textId="77777777" w:rsidTr="005B5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3" w:type="dxa"/>
          </w:tcPr>
          <w:p w14:paraId="5410DA32" w14:textId="77777777" w:rsidR="005B26B9" w:rsidRPr="00193298" w:rsidRDefault="005B26B9" w:rsidP="00D24622">
            <w:r w:rsidRPr="00193298">
              <w:t>MM 3</w:t>
            </w:r>
          </w:p>
        </w:tc>
        <w:tc>
          <w:tcPr>
            <w:tcW w:w="7635" w:type="dxa"/>
          </w:tcPr>
          <w:p w14:paraId="258F9DA3" w14:textId="77777777" w:rsidR="005B26B9" w:rsidRPr="00193298" w:rsidRDefault="005B26B9" w:rsidP="00D24622">
            <w:pPr>
              <w:cnfStyle w:val="000000100000" w:firstRow="0" w:lastRow="0" w:firstColumn="0" w:lastColumn="0" w:oddVBand="0" w:evenVBand="0" w:oddHBand="1" w:evenHBand="0" w:firstRowFirstColumn="0" w:firstRowLastColumn="0" w:lastRowFirstColumn="0" w:lastRowLastColumn="0"/>
            </w:pPr>
            <w:r w:rsidRPr="00193298">
              <w:t>Large rural towns: Inner (ASGS-RA 2) and Outer Regional (ASGS-RA 3) areas that are not MM 2 and are in, or within a 15km drive of a town between 15,000 to 50,000 residents</w:t>
            </w:r>
          </w:p>
        </w:tc>
      </w:tr>
      <w:tr w:rsidR="005B26B9" w:rsidRPr="00193298" w14:paraId="2C46CB31" w14:textId="77777777" w:rsidTr="005B58F2">
        <w:tc>
          <w:tcPr>
            <w:cnfStyle w:val="001000000000" w:firstRow="0" w:lastRow="0" w:firstColumn="1" w:lastColumn="0" w:oddVBand="0" w:evenVBand="0" w:oddHBand="0" w:evenHBand="0" w:firstRowFirstColumn="0" w:firstRowLastColumn="0" w:lastRowFirstColumn="0" w:lastRowLastColumn="0"/>
            <w:tcW w:w="1823" w:type="dxa"/>
          </w:tcPr>
          <w:p w14:paraId="243A0404" w14:textId="77777777" w:rsidR="005B26B9" w:rsidRPr="00193298" w:rsidRDefault="005B26B9" w:rsidP="00D24622">
            <w:r w:rsidRPr="00193298">
              <w:t>MM 4</w:t>
            </w:r>
          </w:p>
        </w:tc>
        <w:tc>
          <w:tcPr>
            <w:tcW w:w="7635" w:type="dxa"/>
          </w:tcPr>
          <w:p w14:paraId="60B8CABE" w14:textId="77777777" w:rsidR="005B26B9" w:rsidRPr="00193298" w:rsidRDefault="005B26B9" w:rsidP="00D24622">
            <w:pPr>
              <w:cnfStyle w:val="000000000000" w:firstRow="0" w:lastRow="0" w:firstColumn="0" w:lastColumn="0" w:oddVBand="0" w:evenVBand="0" w:oddHBand="0" w:evenHBand="0" w:firstRowFirstColumn="0" w:firstRowLastColumn="0" w:lastRowFirstColumn="0" w:lastRowLastColumn="0"/>
            </w:pPr>
            <w:r w:rsidRPr="00193298">
              <w:t>Medium rural towns: Inner (ASGS-RA 2) and Outer Regional (ASGS-RA 3) areas that are not MM 2 or MM 3, and are in, or within a 10km drive of a town with between 5,000 to 15,000 residents</w:t>
            </w:r>
          </w:p>
        </w:tc>
      </w:tr>
      <w:tr w:rsidR="005B26B9" w:rsidRPr="00193298" w14:paraId="35D7C858" w14:textId="77777777" w:rsidTr="005B5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3" w:type="dxa"/>
          </w:tcPr>
          <w:p w14:paraId="32EDED6B" w14:textId="77777777" w:rsidR="005B26B9" w:rsidRPr="00193298" w:rsidRDefault="005B26B9" w:rsidP="00D24622">
            <w:r w:rsidRPr="00193298">
              <w:t>MM 5</w:t>
            </w:r>
          </w:p>
        </w:tc>
        <w:tc>
          <w:tcPr>
            <w:tcW w:w="7635" w:type="dxa"/>
          </w:tcPr>
          <w:p w14:paraId="6CB9FACF" w14:textId="77777777" w:rsidR="005B26B9" w:rsidRPr="00193298" w:rsidRDefault="005B26B9" w:rsidP="00D24622">
            <w:pPr>
              <w:cnfStyle w:val="000000100000" w:firstRow="0" w:lastRow="0" w:firstColumn="0" w:lastColumn="0" w:oddVBand="0" w:evenVBand="0" w:oddHBand="1" w:evenHBand="0" w:firstRowFirstColumn="0" w:firstRowLastColumn="0" w:lastRowFirstColumn="0" w:lastRowLastColumn="0"/>
            </w:pPr>
            <w:r w:rsidRPr="00193298">
              <w:t>Small rural towns: All remaining Inner (ASGS-RA 2) and Outer Regional (ASGS-RA 3) areas. Islands that have an MM 5 classification with a population of less than 1,000 without bridges to the mainland will now be classified as MM 6</w:t>
            </w:r>
          </w:p>
        </w:tc>
      </w:tr>
      <w:tr w:rsidR="005B26B9" w:rsidRPr="00193298" w14:paraId="2733C3A4" w14:textId="77777777" w:rsidTr="005B58F2">
        <w:tc>
          <w:tcPr>
            <w:cnfStyle w:val="001000000000" w:firstRow="0" w:lastRow="0" w:firstColumn="1" w:lastColumn="0" w:oddVBand="0" w:evenVBand="0" w:oddHBand="0" w:evenHBand="0" w:firstRowFirstColumn="0" w:firstRowLastColumn="0" w:lastRowFirstColumn="0" w:lastRowLastColumn="0"/>
            <w:tcW w:w="1823" w:type="dxa"/>
          </w:tcPr>
          <w:p w14:paraId="322D963C" w14:textId="77777777" w:rsidR="005B26B9" w:rsidRPr="00193298" w:rsidRDefault="005B26B9" w:rsidP="00D24622">
            <w:r w:rsidRPr="00193298">
              <w:t>MM 6</w:t>
            </w:r>
          </w:p>
        </w:tc>
        <w:tc>
          <w:tcPr>
            <w:tcW w:w="7635" w:type="dxa"/>
          </w:tcPr>
          <w:p w14:paraId="19E95377" w14:textId="77777777" w:rsidR="005B26B9" w:rsidRPr="00193298" w:rsidRDefault="005B26B9" w:rsidP="00D24622">
            <w:pPr>
              <w:cnfStyle w:val="000000000000" w:firstRow="0" w:lastRow="0" w:firstColumn="0" w:lastColumn="0" w:oddVBand="0" w:evenVBand="0" w:oddHBand="0" w:evenHBand="0" w:firstRowFirstColumn="0" w:firstRowLastColumn="0" w:lastRowFirstColumn="0" w:lastRowLastColumn="0"/>
            </w:pPr>
            <w:r w:rsidRPr="00193298">
              <w:t>Remote communities: Remote mainland areas (ASGS-RA 4) AND remote islands less than 5kms offshore. Islands that have an MM 5 classification with a population of less than 1,000 without bridges to the mainland will now be classified as MM 6</w:t>
            </w:r>
          </w:p>
        </w:tc>
      </w:tr>
      <w:tr w:rsidR="005B26B9" w:rsidRPr="00193298" w14:paraId="36EF6812" w14:textId="77777777" w:rsidTr="005B5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3" w:type="dxa"/>
          </w:tcPr>
          <w:p w14:paraId="07E52207" w14:textId="77777777" w:rsidR="005B26B9" w:rsidRPr="00193298" w:rsidRDefault="005B26B9" w:rsidP="00D24622">
            <w:r w:rsidRPr="00193298">
              <w:t>MM 7</w:t>
            </w:r>
          </w:p>
        </w:tc>
        <w:tc>
          <w:tcPr>
            <w:tcW w:w="7635" w:type="dxa"/>
          </w:tcPr>
          <w:p w14:paraId="7C5729E6" w14:textId="77777777" w:rsidR="005B26B9" w:rsidRPr="00193298" w:rsidRDefault="005B26B9" w:rsidP="00D24622">
            <w:pPr>
              <w:cnfStyle w:val="000000100000" w:firstRow="0" w:lastRow="0" w:firstColumn="0" w:lastColumn="0" w:oddVBand="0" w:evenVBand="0" w:oddHBand="1" w:evenHBand="0" w:firstRowFirstColumn="0" w:firstRowLastColumn="0" w:lastRowFirstColumn="0" w:lastRowLastColumn="0"/>
            </w:pPr>
            <w:r w:rsidRPr="00193298">
              <w:t>Very remote communities: Very remote areas (ASGS-RA 5) and all other remote island areas more than 5kms offshore.</w:t>
            </w:r>
          </w:p>
        </w:tc>
      </w:tr>
    </w:tbl>
    <w:p w14:paraId="398BD06D" w14:textId="77777777" w:rsidR="005B26B9" w:rsidRPr="00193298" w:rsidRDefault="005B26B9" w:rsidP="00410F88">
      <w:pPr>
        <w:pStyle w:val="Heading2"/>
        <w:rPr>
          <w:rFonts w:eastAsia="Times New Roman" w:cstheme="minorHAnsi"/>
          <w:lang w:eastAsia="en-AU"/>
        </w:rPr>
      </w:pPr>
      <w:bookmarkStart w:id="38" w:name="_Toc127529780"/>
      <w:bookmarkStart w:id="39" w:name="_Toc159181255"/>
      <w:r w:rsidRPr="00193298">
        <w:rPr>
          <w:rFonts w:eastAsia="Times New Roman" w:cstheme="minorHAnsi"/>
          <w:lang w:eastAsia="en-AU"/>
        </w:rPr>
        <w:t>Determining Patient State and Modified Monash (MMM)</w:t>
      </w:r>
      <w:bookmarkEnd w:id="38"/>
      <w:bookmarkEnd w:id="39"/>
    </w:p>
    <w:p w14:paraId="43C7BDCA" w14:textId="77777777" w:rsidR="005B26B9" w:rsidRPr="00193298" w:rsidRDefault="00F6784E" w:rsidP="00D24622">
      <w:r w:rsidRPr="00193298">
        <w:t xml:space="preserve">In current publications the patient’s </w:t>
      </w:r>
      <w:r w:rsidR="005B26B9" w:rsidRPr="00193298">
        <w:t xml:space="preserve">geographic location is determined using </w:t>
      </w:r>
      <w:r w:rsidRPr="00193298">
        <w:t xml:space="preserve">their </w:t>
      </w:r>
      <w:r w:rsidR="005B26B9" w:rsidRPr="00193298">
        <w:t xml:space="preserve">geocoded Medicare enrolment address as at the date the claim was processed. There may be minor changes to the figures </w:t>
      </w:r>
      <w:r w:rsidRPr="00193298">
        <w:t xml:space="preserve">in subsequent publications </w:t>
      </w:r>
      <w:r w:rsidR="005B26B9" w:rsidRPr="00193298">
        <w:t xml:space="preserve">as geospatial information is updated. </w:t>
      </w:r>
      <w:r w:rsidRPr="00193298">
        <w:t xml:space="preserve">The most recent publication should always be considered to </w:t>
      </w:r>
      <w:r w:rsidR="006964E0" w:rsidRPr="00193298">
        <w:t>supersede</w:t>
      </w:r>
      <w:r w:rsidRPr="00193298">
        <w:t xml:space="preserve"> earlier publications covering the same time period</w:t>
      </w:r>
      <w:r w:rsidR="006964E0" w:rsidRPr="00193298">
        <w:t>s</w:t>
      </w:r>
      <w:r w:rsidRPr="00193298">
        <w:t>.</w:t>
      </w:r>
    </w:p>
    <w:p w14:paraId="60C8C034" w14:textId="77777777" w:rsidR="00F6784E" w:rsidRPr="00193298" w:rsidRDefault="00F6784E" w:rsidP="00410F88">
      <w:pPr>
        <w:pStyle w:val="Heading3"/>
        <w:rPr>
          <w:rFonts w:eastAsia="Times New Roman" w:cstheme="minorHAnsi"/>
          <w:lang w:eastAsia="en-AU"/>
        </w:rPr>
      </w:pPr>
      <w:bookmarkStart w:id="40" w:name="_Toc127529781"/>
      <w:bookmarkStart w:id="41" w:name="_Toc159181256"/>
      <w:r w:rsidRPr="00193298">
        <w:rPr>
          <w:rFonts w:eastAsia="Times New Roman" w:cstheme="minorHAnsi"/>
          <w:lang w:eastAsia="en-AU"/>
        </w:rPr>
        <w:lastRenderedPageBreak/>
        <w:t xml:space="preserve">Time series break from </w:t>
      </w:r>
      <w:r w:rsidR="00681256" w:rsidRPr="00193298">
        <w:rPr>
          <w:rFonts w:eastAsia="Times New Roman" w:cstheme="minorHAnsi"/>
          <w:lang w:eastAsia="en-AU"/>
        </w:rPr>
        <w:t xml:space="preserve">September </w:t>
      </w:r>
      <w:r w:rsidRPr="00193298">
        <w:rPr>
          <w:rFonts w:eastAsia="Times New Roman" w:cstheme="minorHAnsi"/>
          <w:lang w:eastAsia="en-AU"/>
        </w:rPr>
        <w:t>2009-10</w:t>
      </w:r>
      <w:bookmarkEnd w:id="40"/>
      <w:bookmarkEnd w:id="41"/>
    </w:p>
    <w:p w14:paraId="10827238" w14:textId="2905BF91" w:rsidR="005B26B9" w:rsidRPr="00193298" w:rsidRDefault="00F6784E" w:rsidP="00D24622">
      <w:r w:rsidRPr="00193298">
        <w:t>In reports containing figures prior to September 2009-10 (</w:t>
      </w:r>
      <w:r w:rsidR="00DE369D" w:rsidRPr="00193298">
        <w:t>i.e.</w:t>
      </w:r>
      <w:r w:rsidR="00A64CDB" w:rsidRPr="00193298">
        <w:t>,</w:t>
      </w:r>
      <w:r w:rsidRPr="00193298">
        <w:t xml:space="preserve"> Quarterly Report: March quarter 1984 to June quarter 2009 and Annual Report: 1984-85 to 2008-09) t</w:t>
      </w:r>
      <w:r w:rsidR="005B26B9" w:rsidRPr="00193298">
        <w:t xml:space="preserve">he </w:t>
      </w:r>
      <w:r w:rsidRPr="00193298">
        <w:t xml:space="preserve">patient’s </w:t>
      </w:r>
      <w:r w:rsidR="005B26B9" w:rsidRPr="00193298">
        <w:t xml:space="preserve">geographic location </w:t>
      </w:r>
      <w:r w:rsidRPr="00193298">
        <w:t>was</w:t>
      </w:r>
      <w:r w:rsidR="005B26B9" w:rsidRPr="00193298">
        <w:t xml:space="preserve"> determined using the patient’s Medicare enrolment postcode as at the date their claim was processed.</w:t>
      </w:r>
    </w:p>
    <w:p w14:paraId="77649453" w14:textId="17FD8BF9" w:rsidR="0090466D" w:rsidRPr="00193298" w:rsidRDefault="0090466D" w:rsidP="00410F88">
      <w:pPr>
        <w:pStyle w:val="Heading1"/>
        <w:rPr>
          <w:rFonts w:asciiTheme="minorHAnsi" w:eastAsia="Times New Roman" w:hAnsiTheme="minorHAnsi" w:cstheme="minorHAnsi"/>
          <w:lang w:val="en" w:eastAsia="en-AU"/>
        </w:rPr>
      </w:pPr>
      <w:bookmarkStart w:id="42" w:name="_Toc127529782"/>
      <w:bookmarkStart w:id="43" w:name="_Toc159181257"/>
      <w:r w:rsidRPr="00193298">
        <w:rPr>
          <w:rFonts w:asciiTheme="minorHAnsi" w:hAnsiTheme="minorHAnsi" w:cstheme="minorHAnsi"/>
        </w:rPr>
        <w:t>Disclaimer</w:t>
      </w:r>
      <w:bookmarkEnd w:id="42"/>
      <w:bookmarkEnd w:id="43"/>
    </w:p>
    <w:p w14:paraId="689B2704" w14:textId="77777777" w:rsidR="0090466D" w:rsidRPr="00193298" w:rsidRDefault="0090466D" w:rsidP="00D24622">
      <w:r w:rsidRPr="00193298">
        <w:t xml:space="preserve">The information and data contained in the reports and tables have been provided by the Department of Health for general information purposes only. While the Department of Health takes care in the compilation and provision of the information and data, it does not assume or accept any liability for the accuracy, quality, suitability and currency of the information or data, or for any reliance on the information or data. The Department of Health recommends that users exercise their own care, </w:t>
      </w:r>
      <w:proofErr w:type="gramStart"/>
      <w:r w:rsidRPr="00193298">
        <w:t>skill</w:t>
      </w:r>
      <w:proofErr w:type="gramEnd"/>
      <w:r w:rsidRPr="00193298">
        <w:t xml:space="preserve"> and diligence with respect to the use and interpretation of the information and data.</w:t>
      </w:r>
    </w:p>
    <w:sectPr w:rsidR="0090466D" w:rsidRPr="00193298" w:rsidSect="00320958">
      <w:headerReference w:type="even" r:id="rId10"/>
      <w:headerReference w:type="default" r:id="rId11"/>
      <w:footerReference w:type="even" r:id="rId12"/>
      <w:footerReference w:type="default" r:id="rId13"/>
      <w:headerReference w:type="first" r:id="rId14"/>
      <w:footerReference w:type="first" r:id="rId15"/>
      <w:pgSz w:w="11906" w:h="16838"/>
      <w:pgMar w:top="1440" w:right="1134" w:bottom="1440"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0C8D6" w14:textId="77777777" w:rsidR="00BD5090" w:rsidRDefault="00BD5090" w:rsidP="00D24622">
      <w:r>
        <w:separator/>
      </w:r>
    </w:p>
  </w:endnote>
  <w:endnote w:type="continuationSeparator" w:id="0">
    <w:p w14:paraId="72107F4B" w14:textId="77777777" w:rsidR="00BD5090" w:rsidRDefault="00BD5090" w:rsidP="00D24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BF4CA" w14:textId="77777777" w:rsidR="0002511C" w:rsidRDefault="0002511C" w:rsidP="00D246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9672514"/>
      <w:docPartObj>
        <w:docPartGallery w:val="Page Numbers (Bottom of Page)"/>
        <w:docPartUnique/>
      </w:docPartObj>
    </w:sdtPr>
    <w:sdtContent>
      <w:sdt>
        <w:sdtPr>
          <w:id w:val="-1769616900"/>
          <w:docPartObj>
            <w:docPartGallery w:val="Page Numbers (Top of Page)"/>
            <w:docPartUnique/>
          </w:docPartObj>
        </w:sdtPr>
        <w:sdtContent>
          <w:p w14:paraId="74FA45BD" w14:textId="77777777" w:rsidR="00C140B4" w:rsidRDefault="00FB439B" w:rsidP="00D24622">
            <w:pPr>
              <w:pStyle w:val="Footer"/>
            </w:pPr>
            <w:r w:rsidRPr="00FB439B">
              <w:t xml:space="preserve">Page </w:t>
            </w:r>
            <w:r w:rsidRPr="00FB439B">
              <w:fldChar w:fldCharType="begin"/>
            </w:r>
            <w:r w:rsidRPr="00FB439B">
              <w:instrText xml:space="preserve"> PAGE </w:instrText>
            </w:r>
            <w:r w:rsidRPr="00FB439B">
              <w:fldChar w:fldCharType="separate"/>
            </w:r>
            <w:r w:rsidR="000E536D">
              <w:rPr>
                <w:noProof/>
              </w:rPr>
              <w:t>4</w:t>
            </w:r>
            <w:r w:rsidRPr="00FB439B">
              <w:fldChar w:fldCharType="end"/>
            </w:r>
            <w:r w:rsidRPr="00FB439B">
              <w:t xml:space="preserve"> of </w:t>
            </w:r>
            <w:fldSimple w:instr=" NUMPAGES  ">
              <w:r w:rsidR="000E536D">
                <w:rPr>
                  <w:noProof/>
                </w:rPr>
                <w:t>6</w:t>
              </w:r>
            </w:fldSimple>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2C6B6" w14:textId="77777777" w:rsidR="0002511C" w:rsidRDefault="0002511C" w:rsidP="00D246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89879" w14:textId="77777777" w:rsidR="00BD5090" w:rsidRDefault="00BD5090" w:rsidP="00D24622">
      <w:r>
        <w:separator/>
      </w:r>
    </w:p>
  </w:footnote>
  <w:footnote w:type="continuationSeparator" w:id="0">
    <w:p w14:paraId="7DBBCFE1" w14:textId="77777777" w:rsidR="00BD5090" w:rsidRDefault="00BD5090" w:rsidP="00D24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6021B" w14:textId="77777777" w:rsidR="0002511C" w:rsidRDefault="0002511C" w:rsidP="00D246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3ADFF" w14:textId="77777777" w:rsidR="0002511C" w:rsidRDefault="0002511C" w:rsidP="00D246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F5940" w14:textId="38E2C2F9" w:rsidR="00320958" w:rsidRDefault="00320958" w:rsidP="00D24622">
    <w:pPr>
      <w:pStyle w:val="Header"/>
    </w:pPr>
    <w:r>
      <w:rPr>
        <w:noProof/>
        <w:lang w:eastAsia="en-AU"/>
      </w:rPr>
      <w:drawing>
        <wp:inline distT="0" distB="0" distL="0" distR="0" wp14:anchorId="6E5E965B" wp14:editId="3DBB2156">
          <wp:extent cx="5759450" cy="941705"/>
          <wp:effectExtent l="0" t="0" r="6350" b="0"/>
          <wp:docPr id="1" name="Picture 1"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7B4A3D7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194D9D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CE60F626"/>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E2219C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1E96DA38"/>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42E0F9A"/>
    <w:multiLevelType w:val="hybridMultilevel"/>
    <w:tmpl w:val="3E0259C4"/>
    <w:lvl w:ilvl="0" w:tplc="33605C02">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6" w15:restartNumberingAfterBreak="0">
    <w:nsid w:val="0E395E20"/>
    <w:multiLevelType w:val="hybridMultilevel"/>
    <w:tmpl w:val="7FF2E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2363CC"/>
    <w:multiLevelType w:val="hybridMultilevel"/>
    <w:tmpl w:val="B76664A4"/>
    <w:lvl w:ilvl="0" w:tplc="174639DC">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551A23"/>
    <w:multiLevelType w:val="hybridMultilevel"/>
    <w:tmpl w:val="DD5A489A"/>
    <w:lvl w:ilvl="0" w:tplc="0C090005">
      <w:start w:val="1"/>
      <w:numFmt w:val="bullet"/>
      <w:lvlText w:val=""/>
      <w:lvlJc w:val="left"/>
      <w:pPr>
        <w:ind w:left="2160" w:hanging="360"/>
      </w:pPr>
      <w:rPr>
        <w:rFonts w:ascii="Wingdings" w:hAnsi="Wingdings"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9" w15:restartNumberingAfterBreak="0">
    <w:nsid w:val="28447A9B"/>
    <w:multiLevelType w:val="hybridMultilevel"/>
    <w:tmpl w:val="D1CE5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6B5FBF"/>
    <w:multiLevelType w:val="hybridMultilevel"/>
    <w:tmpl w:val="492A45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66469E6"/>
    <w:multiLevelType w:val="multilevel"/>
    <w:tmpl w:val="CA6645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82A6E28"/>
    <w:multiLevelType w:val="hybridMultilevel"/>
    <w:tmpl w:val="7F3A5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7A1B34"/>
    <w:multiLevelType w:val="hybridMultilevel"/>
    <w:tmpl w:val="8F425252"/>
    <w:lvl w:ilvl="0" w:tplc="174639DC">
      <w:start w:val="1"/>
      <w:numFmt w:val="decimal"/>
      <w:lvlText w:val="%1."/>
      <w:lvlJc w:val="left"/>
      <w:pPr>
        <w:ind w:left="720" w:hanging="360"/>
      </w:pPr>
      <w:rPr>
        <w:rFonts w:hint="default"/>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412868"/>
    <w:multiLevelType w:val="hybridMultilevel"/>
    <w:tmpl w:val="8DF2058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1FE4DE4"/>
    <w:multiLevelType w:val="hybridMultilevel"/>
    <w:tmpl w:val="B7968F86"/>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B70FA9"/>
    <w:multiLevelType w:val="hybridMultilevel"/>
    <w:tmpl w:val="8C4A6CE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E9965AA"/>
    <w:multiLevelType w:val="hybridMultilevel"/>
    <w:tmpl w:val="EDC4148E"/>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13501B0"/>
    <w:multiLevelType w:val="hybridMultilevel"/>
    <w:tmpl w:val="37E48904"/>
    <w:lvl w:ilvl="0" w:tplc="0C090003">
      <w:start w:val="1"/>
      <w:numFmt w:val="bullet"/>
      <w:lvlText w:val="o"/>
      <w:lvlJc w:val="left"/>
      <w:pPr>
        <w:ind w:left="360" w:hanging="360"/>
      </w:pPr>
      <w:rPr>
        <w:rFonts w:ascii="Courier New" w:hAnsi="Courier New" w:cs="Courier New"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5456429"/>
    <w:multiLevelType w:val="multilevel"/>
    <w:tmpl w:val="789C9A38"/>
    <w:lvl w:ilvl="0">
      <w:start w:val="1"/>
      <w:numFmt w:val="decimal"/>
      <w:pStyle w:val="ListNumber"/>
      <w:lvlText w:val="%1."/>
      <w:lvlJc w:val="left"/>
      <w:pPr>
        <w:ind w:left="369" w:hanging="369"/>
      </w:pPr>
      <w:rPr>
        <w:rFonts w:ascii="Times New Roman" w:hAnsi="Times New Roman" w:cs="Times New Roman" w:hint="default"/>
        <w:b w:val="0"/>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0" w15:restartNumberingAfterBreak="0">
    <w:nsid w:val="65786BDB"/>
    <w:multiLevelType w:val="hybridMultilevel"/>
    <w:tmpl w:val="EFA88484"/>
    <w:lvl w:ilvl="0" w:tplc="0C090003">
      <w:start w:val="1"/>
      <w:numFmt w:val="bullet"/>
      <w:lvlText w:val="o"/>
      <w:lvlJc w:val="left"/>
      <w:pPr>
        <w:ind w:left="2160" w:hanging="360"/>
      </w:pPr>
      <w:rPr>
        <w:rFonts w:ascii="Courier New" w:hAnsi="Courier New" w:cs="Courier New"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1" w15:restartNumberingAfterBreak="0">
    <w:nsid w:val="6FDE788F"/>
    <w:multiLevelType w:val="hybridMultilevel"/>
    <w:tmpl w:val="41F6F8E8"/>
    <w:lvl w:ilvl="0" w:tplc="174639DC">
      <w:start w:val="1"/>
      <w:numFmt w:val="decimal"/>
      <w:lvlText w:val="%1."/>
      <w:lvlJc w:val="left"/>
      <w:pPr>
        <w:ind w:left="360" w:hanging="360"/>
      </w:pPr>
      <w:rPr>
        <w:rFonts w:hint="default"/>
      </w:rPr>
    </w:lvl>
    <w:lvl w:ilvl="1" w:tplc="0C090005">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8C60EB7"/>
    <w:multiLevelType w:val="hybridMultilevel"/>
    <w:tmpl w:val="4822CF28"/>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F8317AE"/>
    <w:multiLevelType w:val="hybridMultilevel"/>
    <w:tmpl w:val="BC1403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765879590">
    <w:abstractNumId w:val="10"/>
  </w:num>
  <w:num w:numId="2" w16cid:durableId="805928858">
    <w:abstractNumId w:val="15"/>
  </w:num>
  <w:num w:numId="3" w16cid:durableId="2009627301">
    <w:abstractNumId w:val="21"/>
  </w:num>
  <w:num w:numId="4" w16cid:durableId="1074355054">
    <w:abstractNumId w:val="20"/>
  </w:num>
  <w:num w:numId="5" w16cid:durableId="2138600160">
    <w:abstractNumId w:val="8"/>
  </w:num>
  <w:num w:numId="6" w16cid:durableId="1734036218">
    <w:abstractNumId w:val="13"/>
  </w:num>
  <w:num w:numId="7" w16cid:durableId="630134128">
    <w:abstractNumId w:val="16"/>
  </w:num>
  <w:num w:numId="8" w16cid:durableId="523173972">
    <w:abstractNumId w:val="18"/>
  </w:num>
  <w:num w:numId="9" w16cid:durableId="2079588752">
    <w:abstractNumId w:val="23"/>
  </w:num>
  <w:num w:numId="10" w16cid:durableId="689766441">
    <w:abstractNumId w:val="7"/>
  </w:num>
  <w:num w:numId="11" w16cid:durableId="1942225764">
    <w:abstractNumId w:val="17"/>
  </w:num>
  <w:num w:numId="12" w16cid:durableId="1915119072">
    <w:abstractNumId w:val="14"/>
  </w:num>
  <w:num w:numId="13" w16cid:durableId="216087852">
    <w:abstractNumId w:val="22"/>
  </w:num>
  <w:num w:numId="14" w16cid:durableId="2020692262">
    <w:abstractNumId w:val="11"/>
  </w:num>
  <w:num w:numId="15" w16cid:durableId="828911977">
    <w:abstractNumId w:val="12"/>
  </w:num>
  <w:num w:numId="16" w16cid:durableId="1555240409">
    <w:abstractNumId w:val="19"/>
  </w:num>
  <w:num w:numId="17" w16cid:durableId="149564589">
    <w:abstractNumId w:val="5"/>
  </w:num>
  <w:num w:numId="18" w16cid:durableId="971833822">
    <w:abstractNumId w:val="9"/>
  </w:num>
  <w:num w:numId="19" w16cid:durableId="943539483">
    <w:abstractNumId w:val="4"/>
  </w:num>
  <w:num w:numId="20" w16cid:durableId="471484802">
    <w:abstractNumId w:val="3"/>
  </w:num>
  <w:num w:numId="21" w16cid:durableId="814030881">
    <w:abstractNumId w:val="2"/>
  </w:num>
  <w:num w:numId="22" w16cid:durableId="2042973364">
    <w:abstractNumId w:val="1"/>
  </w:num>
  <w:num w:numId="23" w16cid:durableId="1362046416">
    <w:abstractNumId w:val="0"/>
  </w:num>
  <w:num w:numId="24" w16cid:durableId="7266095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F4E"/>
    <w:rsid w:val="00002E35"/>
    <w:rsid w:val="00004704"/>
    <w:rsid w:val="00024C9B"/>
    <w:rsid w:val="0002511C"/>
    <w:rsid w:val="0004324C"/>
    <w:rsid w:val="00090911"/>
    <w:rsid w:val="000C3CFE"/>
    <w:rsid w:val="000E536D"/>
    <w:rsid w:val="000F6DD0"/>
    <w:rsid w:val="000F6F96"/>
    <w:rsid w:val="000F7383"/>
    <w:rsid w:val="001014D0"/>
    <w:rsid w:val="00110CF2"/>
    <w:rsid w:val="00144C0D"/>
    <w:rsid w:val="00147DB9"/>
    <w:rsid w:val="0016793C"/>
    <w:rsid w:val="00193298"/>
    <w:rsid w:val="001A6737"/>
    <w:rsid w:val="001A7457"/>
    <w:rsid w:val="001F1A06"/>
    <w:rsid w:val="001F6211"/>
    <w:rsid w:val="00215208"/>
    <w:rsid w:val="00225516"/>
    <w:rsid w:val="00240A41"/>
    <w:rsid w:val="00271FC5"/>
    <w:rsid w:val="00280050"/>
    <w:rsid w:val="002A0D1F"/>
    <w:rsid w:val="002A7DCF"/>
    <w:rsid w:val="002B7EFF"/>
    <w:rsid w:val="002C06B9"/>
    <w:rsid w:val="002F183B"/>
    <w:rsid w:val="002F282A"/>
    <w:rsid w:val="0031585C"/>
    <w:rsid w:val="00320958"/>
    <w:rsid w:val="00325EEA"/>
    <w:rsid w:val="00326756"/>
    <w:rsid w:val="003439F4"/>
    <w:rsid w:val="003460D2"/>
    <w:rsid w:val="003742CF"/>
    <w:rsid w:val="003878FA"/>
    <w:rsid w:val="003B2084"/>
    <w:rsid w:val="00410F88"/>
    <w:rsid w:val="00447BA1"/>
    <w:rsid w:val="00452B92"/>
    <w:rsid w:val="00466B23"/>
    <w:rsid w:val="0048038C"/>
    <w:rsid w:val="0048624C"/>
    <w:rsid w:val="00494C4A"/>
    <w:rsid w:val="004A1ECB"/>
    <w:rsid w:val="004A3683"/>
    <w:rsid w:val="004B1FCB"/>
    <w:rsid w:val="004C24EE"/>
    <w:rsid w:val="004C6F0B"/>
    <w:rsid w:val="004C6FE8"/>
    <w:rsid w:val="004D123E"/>
    <w:rsid w:val="00523381"/>
    <w:rsid w:val="00541A35"/>
    <w:rsid w:val="005541C8"/>
    <w:rsid w:val="00576D38"/>
    <w:rsid w:val="005817C6"/>
    <w:rsid w:val="005910EC"/>
    <w:rsid w:val="005B05BF"/>
    <w:rsid w:val="005B0C3D"/>
    <w:rsid w:val="005B26B9"/>
    <w:rsid w:val="005B58F2"/>
    <w:rsid w:val="005B7AC2"/>
    <w:rsid w:val="005C77D0"/>
    <w:rsid w:val="005D732E"/>
    <w:rsid w:val="0062563C"/>
    <w:rsid w:val="00681256"/>
    <w:rsid w:val="006964E0"/>
    <w:rsid w:val="006B28D4"/>
    <w:rsid w:val="006E48F1"/>
    <w:rsid w:val="00701237"/>
    <w:rsid w:val="00734198"/>
    <w:rsid w:val="00746084"/>
    <w:rsid w:val="00755191"/>
    <w:rsid w:val="00766B13"/>
    <w:rsid w:val="00775794"/>
    <w:rsid w:val="007B3BCF"/>
    <w:rsid w:val="007E556D"/>
    <w:rsid w:val="007E5591"/>
    <w:rsid w:val="00830372"/>
    <w:rsid w:val="00830768"/>
    <w:rsid w:val="008854AE"/>
    <w:rsid w:val="0088789A"/>
    <w:rsid w:val="00896CB1"/>
    <w:rsid w:val="008B4A32"/>
    <w:rsid w:val="008C4333"/>
    <w:rsid w:val="008D4CD1"/>
    <w:rsid w:val="008E6B8D"/>
    <w:rsid w:val="008F4C9C"/>
    <w:rsid w:val="0090466D"/>
    <w:rsid w:val="00951346"/>
    <w:rsid w:val="00955A07"/>
    <w:rsid w:val="0097064B"/>
    <w:rsid w:val="00971FC4"/>
    <w:rsid w:val="0097345A"/>
    <w:rsid w:val="00992AAC"/>
    <w:rsid w:val="0099413C"/>
    <w:rsid w:val="009A3221"/>
    <w:rsid w:val="009A3670"/>
    <w:rsid w:val="009B110B"/>
    <w:rsid w:val="009B4B45"/>
    <w:rsid w:val="009D7082"/>
    <w:rsid w:val="00A2155D"/>
    <w:rsid w:val="00A64CDB"/>
    <w:rsid w:val="00A67FA8"/>
    <w:rsid w:val="00A8671A"/>
    <w:rsid w:val="00AA181E"/>
    <w:rsid w:val="00AC5DA1"/>
    <w:rsid w:val="00AE3107"/>
    <w:rsid w:val="00AE4B92"/>
    <w:rsid w:val="00B10094"/>
    <w:rsid w:val="00B12336"/>
    <w:rsid w:val="00B17395"/>
    <w:rsid w:val="00B21F50"/>
    <w:rsid w:val="00B322D1"/>
    <w:rsid w:val="00BA049B"/>
    <w:rsid w:val="00BB427B"/>
    <w:rsid w:val="00BD5090"/>
    <w:rsid w:val="00C134E0"/>
    <w:rsid w:val="00C140B4"/>
    <w:rsid w:val="00C23F4E"/>
    <w:rsid w:val="00C31B22"/>
    <w:rsid w:val="00C51E75"/>
    <w:rsid w:val="00C5544C"/>
    <w:rsid w:val="00C60941"/>
    <w:rsid w:val="00C63839"/>
    <w:rsid w:val="00C638CA"/>
    <w:rsid w:val="00C7301C"/>
    <w:rsid w:val="00C958FB"/>
    <w:rsid w:val="00CC34C3"/>
    <w:rsid w:val="00CD3AE6"/>
    <w:rsid w:val="00CD7F0D"/>
    <w:rsid w:val="00D10ED7"/>
    <w:rsid w:val="00D13CF8"/>
    <w:rsid w:val="00D24622"/>
    <w:rsid w:val="00D5531C"/>
    <w:rsid w:val="00D60F8D"/>
    <w:rsid w:val="00D740A9"/>
    <w:rsid w:val="00D81A7E"/>
    <w:rsid w:val="00DA493E"/>
    <w:rsid w:val="00DB17F5"/>
    <w:rsid w:val="00DB32BF"/>
    <w:rsid w:val="00DC0C87"/>
    <w:rsid w:val="00DD28B3"/>
    <w:rsid w:val="00DE283A"/>
    <w:rsid w:val="00DE369D"/>
    <w:rsid w:val="00DF1B31"/>
    <w:rsid w:val="00E17842"/>
    <w:rsid w:val="00E5470D"/>
    <w:rsid w:val="00E70667"/>
    <w:rsid w:val="00E81169"/>
    <w:rsid w:val="00E90118"/>
    <w:rsid w:val="00E9113C"/>
    <w:rsid w:val="00ED7287"/>
    <w:rsid w:val="00EE7730"/>
    <w:rsid w:val="00EF0645"/>
    <w:rsid w:val="00F14D6C"/>
    <w:rsid w:val="00F56F44"/>
    <w:rsid w:val="00F61475"/>
    <w:rsid w:val="00F6784E"/>
    <w:rsid w:val="00FB439B"/>
    <w:rsid w:val="00FC29BA"/>
    <w:rsid w:val="00FD0B0F"/>
    <w:rsid w:val="00FD22E6"/>
    <w:rsid w:val="00FE79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50079"/>
  <w15:chartTrackingRefBased/>
  <w15:docId w15:val="{33E1468E-E68C-40EC-9001-8FA73E8E5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622"/>
    <w:pPr>
      <w:spacing w:before="120" w:after="120"/>
    </w:pPr>
    <w:rPr>
      <w:rFonts w:asciiTheme="minorHAnsi" w:hAnsiTheme="minorHAnsi" w:cstheme="minorHAnsi"/>
      <w:sz w:val="22"/>
    </w:rPr>
  </w:style>
  <w:style w:type="paragraph" w:styleId="Heading1">
    <w:name w:val="heading 1"/>
    <w:next w:val="Normal"/>
    <w:link w:val="Heading1Char"/>
    <w:uiPriority w:val="9"/>
    <w:qFormat/>
    <w:rsid w:val="00410F88"/>
    <w:pPr>
      <w:keepNext/>
      <w:keepLines/>
      <w:spacing w:before="240" w:after="240"/>
      <w:outlineLvl w:val="0"/>
    </w:pPr>
    <w:rPr>
      <w:rFonts w:ascii="Calibri" w:eastAsiaTheme="majorEastAsia" w:hAnsi="Calibri" w:cstheme="majorBidi"/>
      <w:b/>
      <w:color w:val="44546A" w:themeColor="text2"/>
      <w:sz w:val="44"/>
      <w:szCs w:val="32"/>
    </w:rPr>
  </w:style>
  <w:style w:type="paragraph" w:styleId="Heading2">
    <w:name w:val="heading 2"/>
    <w:basedOn w:val="Heading1"/>
    <w:next w:val="Normal"/>
    <w:link w:val="Heading2Char"/>
    <w:uiPriority w:val="9"/>
    <w:unhideWhenUsed/>
    <w:qFormat/>
    <w:rsid w:val="0002511C"/>
    <w:pPr>
      <w:spacing w:before="120" w:after="120"/>
      <w:outlineLvl w:val="1"/>
    </w:pPr>
    <w:rPr>
      <w:rFonts w:asciiTheme="minorHAnsi" w:hAnsiTheme="minorHAnsi"/>
      <w:color w:val="4472C4" w:themeColor="accent5"/>
      <w:sz w:val="32"/>
      <w:szCs w:val="26"/>
    </w:rPr>
  </w:style>
  <w:style w:type="paragraph" w:styleId="Heading3">
    <w:name w:val="heading 3"/>
    <w:basedOn w:val="Heading2"/>
    <w:next w:val="Normal"/>
    <w:link w:val="Heading3Char"/>
    <w:uiPriority w:val="9"/>
    <w:unhideWhenUsed/>
    <w:qFormat/>
    <w:rsid w:val="00C140B4"/>
    <w:pPr>
      <w:outlineLvl w:val="2"/>
    </w:pPr>
    <w:rPr>
      <w:b w:val="0"/>
      <w:color w:val="1F4D78" w:themeColor="accent1" w:themeShade="7F"/>
      <w:sz w:val="28"/>
    </w:rPr>
  </w:style>
  <w:style w:type="paragraph" w:styleId="Heading4">
    <w:name w:val="heading 4"/>
    <w:basedOn w:val="Normal"/>
    <w:next w:val="Normal"/>
    <w:link w:val="Heading4Char"/>
    <w:uiPriority w:val="9"/>
    <w:unhideWhenUsed/>
    <w:qFormat/>
    <w:rsid w:val="007E559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2E6"/>
    <w:pPr>
      <w:ind w:left="720"/>
      <w:contextualSpacing/>
    </w:pPr>
  </w:style>
  <w:style w:type="character" w:customStyle="1" w:styleId="Heading1Char">
    <w:name w:val="Heading 1 Char"/>
    <w:basedOn w:val="DefaultParagraphFont"/>
    <w:link w:val="Heading1"/>
    <w:uiPriority w:val="9"/>
    <w:rsid w:val="00410F88"/>
    <w:rPr>
      <w:rFonts w:ascii="Calibri" w:eastAsiaTheme="majorEastAsia" w:hAnsi="Calibri" w:cstheme="majorBidi"/>
      <w:b/>
      <w:color w:val="44546A" w:themeColor="text2"/>
      <w:sz w:val="44"/>
      <w:szCs w:val="32"/>
    </w:rPr>
  </w:style>
  <w:style w:type="character" w:customStyle="1" w:styleId="Heading2Char">
    <w:name w:val="Heading 2 Char"/>
    <w:basedOn w:val="DefaultParagraphFont"/>
    <w:link w:val="Heading2"/>
    <w:uiPriority w:val="9"/>
    <w:rsid w:val="0002511C"/>
    <w:rPr>
      <w:rFonts w:asciiTheme="minorHAnsi" w:eastAsiaTheme="majorEastAsia" w:hAnsiTheme="minorHAnsi" w:cstheme="majorBidi"/>
      <w:b/>
      <w:color w:val="4472C4" w:themeColor="accent5"/>
      <w:sz w:val="32"/>
      <w:szCs w:val="26"/>
    </w:rPr>
  </w:style>
  <w:style w:type="character" w:styleId="Hyperlink">
    <w:name w:val="Hyperlink"/>
    <w:basedOn w:val="DefaultParagraphFont"/>
    <w:uiPriority w:val="99"/>
    <w:rsid w:val="00320958"/>
    <w:rPr>
      <w:color w:val="0563C1" w:themeColor="hyperlink"/>
      <w:u w:val="single"/>
      <w:bdr w:val="none" w:sz="0" w:space="0" w:color="auto"/>
      <w:shd w:val="clear" w:color="auto" w:fill="auto"/>
    </w:rPr>
  </w:style>
  <w:style w:type="table" w:styleId="GridTable5Dark-Accent3">
    <w:name w:val="Grid Table 5 Dark Accent 3"/>
    <w:basedOn w:val="TableNormal"/>
    <w:uiPriority w:val="50"/>
    <w:rsid w:val="00DA49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BalloonText">
    <w:name w:val="Balloon Text"/>
    <w:basedOn w:val="Normal"/>
    <w:link w:val="BalloonTextChar"/>
    <w:uiPriority w:val="99"/>
    <w:semiHidden/>
    <w:unhideWhenUsed/>
    <w:rsid w:val="008303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372"/>
    <w:rPr>
      <w:rFonts w:ascii="Segoe UI" w:hAnsi="Segoe UI" w:cs="Segoe UI"/>
      <w:sz w:val="18"/>
      <w:szCs w:val="18"/>
    </w:rPr>
  </w:style>
  <w:style w:type="character" w:customStyle="1" w:styleId="Heading3Char">
    <w:name w:val="Heading 3 Char"/>
    <w:basedOn w:val="DefaultParagraphFont"/>
    <w:link w:val="Heading3"/>
    <w:uiPriority w:val="9"/>
    <w:rsid w:val="00C140B4"/>
    <w:rPr>
      <w:rFonts w:asciiTheme="minorHAnsi" w:eastAsiaTheme="majorEastAsia" w:hAnsiTheme="minorHAnsi" w:cstheme="majorBidi"/>
      <w:color w:val="1F4D78" w:themeColor="accent1" w:themeShade="7F"/>
      <w:sz w:val="28"/>
      <w:szCs w:val="26"/>
    </w:rPr>
  </w:style>
  <w:style w:type="character" w:customStyle="1" w:styleId="Heading4Char">
    <w:name w:val="Heading 4 Char"/>
    <w:basedOn w:val="DefaultParagraphFont"/>
    <w:link w:val="Heading4"/>
    <w:uiPriority w:val="9"/>
    <w:rsid w:val="007E5591"/>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DC0C87"/>
    <w:rPr>
      <w:color w:val="954F72" w:themeColor="followedHyperlink"/>
      <w:u w:val="single"/>
    </w:rPr>
  </w:style>
  <w:style w:type="paragraph" w:styleId="ListNumber">
    <w:name w:val="List Number"/>
    <w:basedOn w:val="Normal"/>
    <w:uiPriority w:val="99"/>
    <w:qFormat/>
    <w:rsid w:val="001F1A06"/>
    <w:pPr>
      <w:numPr>
        <w:numId w:val="16"/>
      </w:numPr>
      <w:spacing w:after="200" w:line="276" w:lineRule="auto"/>
    </w:pPr>
    <w:rPr>
      <w:rFonts w:eastAsia="Calibri"/>
      <w:szCs w:val="22"/>
    </w:rPr>
  </w:style>
  <w:style w:type="paragraph" w:styleId="ListNumber2">
    <w:name w:val="List Number 2"/>
    <w:basedOn w:val="Normal"/>
    <w:uiPriority w:val="99"/>
    <w:rsid w:val="001F1A06"/>
    <w:pPr>
      <w:numPr>
        <w:ilvl w:val="1"/>
        <w:numId w:val="16"/>
      </w:numPr>
      <w:spacing w:after="200" w:line="276" w:lineRule="auto"/>
    </w:pPr>
    <w:rPr>
      <w:rFonts w:eastAsia="Calibri"/>
      <w:szCs w:val="22"/>
    </w:rPr>
  </w:style>
  <w:style w:type="paragraph" w:styleId="ListNumber3">
    <w:name w:val="List Number 3"/>
    <w:basedOn w:val="Normal"/>
    <w:uiPriority w:val="99"/>
    <w:rsid w:val="001F1A06"/>
    <w:pPr>
      <w:numPr>
        <w:ilvl w:val="2"/>
        <w:numId w:val="16"/>
      </w:numPr>
      <w:spacing w:after="200" w:line="276" w:lineRule="auto"/>
    </w:pPr>
    <w:rPr>
      <w:rFonts w:eastAsia="Calibri"/>
      <w:szCs w:val="22"/>
    </w:rPr>
  </w:style>
  <w:style w:type="paragraph" w:styleId="ListNumber4">
    <w:name w:val="List Number 4"/>
    <w:basedOn w:val="Normal"/>
    <w:uiPriority w:val="99"/>
    <w:rsid w:val="001F1A06"/>
    <w:pPr>
      <w:numPr>
        <w:ilvl w:val="3"/>
        <w:numId w:val="16"/>
      </w:numPr>
      <w:spacing w:after="200" w:line="276" w:lineRule="auto"/>
    </w:pPr>
    <w:rPr>
      <w:rFonts w:eastAsia="Calibri"/>
      <w:szCs w:val="22"/>
    </w:rPr>
  </w:style>
  <w:style w:type="paragraph" w:styleId="ListNumber5">
    <w:name w:val="List Number 5"/>
    <w:basedOn w:val="Normal"/>
    <w:uiPriority w:val="99"/>
    <w:rsid w:val="001F1A06"/>
    <w:pPr>
      <w:numPr>
        <w:ilvl w:val="4"/>
        <w:numId w:val="16"/>
      </w:numPr>
      <w:spacing w:after="200" w:line="276" w:lineRule="auto"/>
    </w:pPr>
    <w:rPr>
      <w:rFonts w:eastAsia="Calibri"/>
      <w:szCs w:val="22"/>
    </w:rPr>
  </w:style>
  <w:style w:type="paragraph" w:styleId="NormalWeb">
    <w:name w:val="Normal (Web)"/>
    <w:basedOn w:val="Normal"/>
    <w:uiPriority w:val="99"/>
    <w:semiHidden/>
    <w:unhideWhenUsed/>
    <w:rsid w:val="003878FA"/>
    <w:pPr>
      <w:spacing w:before="100" w:beforeAutospacing="1" w:after="100" w:afterAutospacing="1" w:line="240" w:lineRule="auto"/>
    </w:pPr>
    <w:rPr>
      <w:rFonts w:eastAsia="Times New Roman"/>
      <w:lang w:eastAsia="en-AU"/>
    </w:rPr>
  </w:style>
  <w:style w:type="paragraph" w:customStyle="1" w:styleId="Default">
    <w:name w:val="Default"/>
    <w:rsid w:val="00DB17F5"/>
    <w:pPr>
      <w:autoSpaceDE w:val="0"/>
      <w:autoSpaceDN w:val="0"/>
      <w:adjustRightInd w:val="0"/>
      <w:spacing w:after="0" w:line="240" w:lineRule="auto"/>
    </w:pPr>
    <w:rPr>
      <w:rFonts w:ascii="Book Antiqua" w:hAnsi="Book Antiqua" w:cs="Book Antiqua"/>
      <w:color w:val="000000"/>
    </w:rPr>
  </w:style>
  <w:style w:type="paragraph" w:styleId="TOCHeading">
    <w:name w:val="TOC Heading"/>
    <w:next w:val="Normal"/>
    <w:uiPriority w:val="39"/>
    <w:unhideWhenUsed/>
    <w:qFormat/>
    <w:rsid w:val="00D24622"/>
    <w:pPr>
      <w:spacing w:after="0"/>
    </w:pPr>
    <w:rPr>
      <w:rFonts w:ascii="Calibri" w:eastAsiaTheme="majorEastAsia" w:hAnsi="Calibri" w:cstheme="majorBidi"/>
      <w:color w:val="44546A" w:themeColor="text2"/>
      <w:sz w:val="32"/>
      <w:szCs w:val="32"/>
      <w:lang w:val="en-US"/>
    </w:rPr>
  </w:style>
  <w:style w:type="paragraph" w:styleId="TOC1">
    <w:name w:val="toc 1"/>
    <w:basedOn w:val="Normal"/>
    <w:next w:val="Normal"/>
    <w:autoRedefine/>
    <w:uiPriority w:val="39"/>
    <w:unhideWhenUsed/>
    <w:rsid w:val="00320958"/>
    <w:pPr>
      <w:tabs>
        <w:tab w:val="right" w:leader="dot" w:pos="9458"/>
      </w:tabs>
      <w:spacing w:line="240" w:lineRule="auto"/>
    </w:pPr>
    <w:rPr>
      <w:rFonts w:eastAsia="Times New Roman"/>
      <w:b/>
      <w:noProof/>
      <w:lang w:eastAsia="en-AU"/>
    </w:rPr>
  </w:style>
  <w:style w:type="paragraph" w:styleId="TOC2">
    <w:name w:val="toc 2"/>
    <w:basedOn w:val="Normal"/>
    <w:next w:val="Normal"/>
    <w:autoRedefine/>
    <w:uiPriority w:val="39"/>
    <w:unhideWhenUsed/>
    <w:rsid w:val="008E6B8D"/>
    <w:pPr>
      <w:spacing w:after="100"/>
      <w:ind w:left="240"/>
    </w:pPr>
  </w:style>
  <w:style w:type="paragraph" w:styleId="TOC3">
    <w:name w:val="toc 3"/>
    <w:basedOn w:val="Normal"/>
    <w:next w:val="Normal"/>
    <w:autoRedefine/>
    <w:uiPriority w:val="39"/>
    <w:unhideWhenUsed/>
    <w:rsid w:val="008E6B8D"/>
    <w:pPr>
      <w:spacing w:after="100"/>
      <w:ind w:left="480"/>
    </w:pPr>
  </w:style>
  <w:style w:type="paragraph" w:styleId="Title">
    <w:name w:val="Title"/>
    <w:next w:val="Normal"/>
    <w:link w:val="TitleChar"/>
    <w:uiPriority w:val="10"/>
    <w:qFormat/>
    <w:rsid w:val="00320958"/>
    <w:pPr>
      <w:spacing w:before="240" w:after="240" w:line="240" w:lineRule="auto"/>
    </w:pPr>
    <w:rPr>
      <w:rFonts w:ascii="Arial" w:eastAsiaTheme="majorEastAsia" w:hAnsi="Arial" w:cstheme="majorBidi"/>
      <w:b/>
      <w:color w:val="44546A" w:themeColor="text2"/>
      <w:spacing w:val="-10"/>
      <w:kern w:val="28"/>
      <w:sz w:val="48"/>
      <w:szCs w:val="56"/>
    </w:rPr>
  </w:style>
  <w:style w:type="character" w:customStyle="1" w:styleId="TitleChar">
    <w:name w:val="Title Char"/>
    <w:basedOn w:val="DefaultParagraphFont"/>
    <w:link w:val="Title"/>
    <w:uiPriority w:val="10"/>
    <w:rsid w:val="00320958"/>
    <w:rPr>
      <w:rFonts w:ascii="Arial" w:eastAsiaTheme="majorEastAsia" w:hAnsi="Arial" w:cstheme="majorBidi"/>
      <w:b/>
      <w:color w:val="44546A" w:themeColor="text2"/>
      <w:spacing w:val="-10"/>
      <w:kern w:val="28"/>
      <w:sz w:val="48"/>
      <w:szCs w:val="56"/>
    </w:rPr>
  </w:style>
  <w:style w:type="paragraph" w:styleId="Header">
    <w:name w:val="header"/>
    <w:basedOn w:val="Normal"/>
    <w:link w:val="HeaderChar"/>
    <w:uiPriority w:val="99"/>
    <w:unhideWhenUsed/>
    <w:rsid w:val="00FB43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439B"/>
  </w:style>
  <w:style w:type="paragraph" w:styleId="Footer">
    <w:name w:val="footer"/>
    <w:basedOn w:val="Normal"/>
    <w:link w:val="FooterChar"/>
    <w:uiPriority w:val="99"/>
    <w:unhideWhenUsed/>
    <w:rsid w:val="00FB43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439B"/>
  </w:style>
  <w:style w:type="paragraph" w:styleId="ListBullet">
    <w:name w:val="List Bullet"/>
    <w:basedOn w:val="Normal"/>
    <w:uiPriority w:val="99"/>
    <w:unhideWhenUsed/>
    <w:rsid w:val="00C140B4"/>
    <w:pPr>
      <w:numPr>
        <w:numId w:val="19"/>
      </w:numPr>
      <w:contextualSpacing/>
    </w:pPr>
  </w:style>
  <w:style w:type="table" w:styleId="ListTable3-Accent5">
    <w:name w:val="List Table 3 Accent 5"/>
    <w:basedOn w:val="TableNormal"/>
    <w:uiPriority w:val="48"/>
    <w:rsid w:val="00320958"/>
    <w:pPr>
      <w:spacing w:after="0" w:line="240" w:lineRule="auto"/>
    </w:pPr>
    <w:rPr>
      <w:rFonts w:ascii="Calibri" w:hAnsi="Calibri"/>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leGrid">
    <w:name w:val="Table Grid"/>
    <w:basedOn w:val="TableNormal"/>
    <w:uiPriority w:val="39"/>
    <w:rsid w:val="00320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52B92"/>
    <w:rPr>
      <w:sz w:val="16"/>
      <w:szCs w:val="16"/>
    </w:rPr>
  </w:style>
  <w:style w:type="paragraph" w:styleId="CommentText">
    <w:name w:val="annotation text"/>
    <w:basedOn w:val="Normal"/>
    <w:link w:val="CommentTextChar"/>
    <w:uiPriority w:val="99"/>
    <w:semiHidden/>
    <w:unhideWhenUsed/>
    <w:rsid w:val="00452B92"/>
    <w:pPr>
      <w:spacing w:line="240" w:lineRule="auto"/>
    </w:pPr>
    <w:rPr>
      <w:sz w:val="20"/>
      <w:szCs w:val="20"/>
    </w:rPr>
  </w:style>
  <w:style w:type="character" w:customStyle="1" w:styleId="CommentTextChar">
    <w:name w:val="Comment Text Char"/>
    <w:basedOn w:val="DefaultParagraphFont"/>
    <w:link w:val="CommentText"/>
    <w:uiPriority w:val="99"/>
    <w:semiHidden/>
    <w:rsid w:val="00452B9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52B92"/>
    <w:rPr>
      <w:b/>
      <w:bCs/>
    </w:rPr>
  </w:style>
  <w:style w:type="character" w:customStyle="1" w:styleId="CommentSubjectChar">
    <w:name w:val="Comment Subject Char"/>
    <w:basedOn w:val="CommentTextChar"/>
    <w:link w:val="CommentSubject"/>
    <w:uiPriority w:val="99"/>
    <w:semiHidden/>
    <w:rsid w:val="00452B92"/>
    <w:rPr>
      <w:rFonts w:ascii="Arial" w:hAnsi="Arial"/>
      <w:b/>
      <w:bCs/>
      <w:sz w:val="20"/>
      <w:szCs w:val="20"/>
    </w:rPr>
  </w:style>
  <w:style w:type="character" w:styleId="PlaceholderText">
    <w:name w:val="Placeholder Text"/>
    <w:basedOn w:val="DefaultParagraphFont"/>
    <w:uiPriority w:val="99"/>
    <w:semiHidden/>
    <w:rsid w:val="00523381"/>
    <w:rPr>
      <w:color w:val="808080"/>
    </w:rPr>
  </w:style>
  <w:style w:type="character" w:styleId="UnresolvedMention">
    <w:name w:val="Unresolved Mention"/>
    <w:basedOn w:val="DefaultParagraphFont"/>
    <w:uiPriority w:val="99"/>
    <w:semiHidden/>
    <w:unhideWhenUsed/>
    <w:rsid w:val="001F6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114143">
      <w:bodyDiv w:val="1"/>
      <w:marLeft w:val="0"/>
      <w:marRight w:val="0"/>
      <w:marTop w:val="0"/>
      <w:marBottom w:val="0"/>
      <w:divBdr>
        <w:top w:val="none" w:sz="0" w:space="0" w:color="auto"/>
        <w:left w:val="none" w:sz="0" w:space="0" w:color="auto"/>
        <w:bottom w:val="none" w:sz="0" w:space="0" w:color="auto"/>
        <w:right w:val="none" w:sz="0" w:space="0" w:color="auto"/>
      </w:divBdr>
    </w:div>
    <w:div w:id="392431255">
      <w:bodyDiv w:val="1"/>
      <w:marLeft w:val="0"/>
      <w:marRight w:val="0"/>
      <w:marTop w:val="0"/>
      <w:marBottom w:val="0"/>
      <w:divBdr>
        <w:top w:val="none" w:sz="0" w:space="0" w:color="auto"/>
        <w:left w:val="none" w:sz="0" w:space="0" w:color="auto"/>
        <w:bottom w:val="none" w:sz="0" w:space="0" w:color="auto"/>
        <w:right w:val="none" w:sz="0" w:space="0" w:color="auto"/>
      </w:divBdr>
      <w:divsChild>
        <w:div w:id="1442915775">
          <w:marLeft w:val="0"/>
          <w:marRight w:val="0"/>
          <w:marTop w:val="0"/>
          <w:marBottom w:val="0"/>
          <w:divBdr>
            <w:top w:val="none" w:sz="0" w:space="0" w:color="auto"/>
            <w:left w:val="none" w:sz="0" w:space="0" w:color="auto"/>
            <w:bottom w:val="none" w:sz="0" w:space="0" w:color="auto"/>
            <w:right w:val="none" w:sz="0" w:space="0" w:color="auto"/>
          </w:divBdr>
        </w:div>
        <w:div w:id="774177980">
          <w:marLeft w:val="0"/>
          <w:marRight w:val="0"/>
          <w:marTop w:val="0"/>
          <w:marBottom w:val="0"/>
          <w:divBdr>
            <w:top w:val="none" w:sz="0" w:space="0" w:color="auto"/>
            <w:left w:val="none" w:sz="0" w:space="0" w:color="auto"/>
            <w:bottom w:val="none" w:sz="0" w:space="0" w:color="auto"/>
            <w:right w:val="none" w:sz="0" w:space="0" w:color="auto"/>
          </w:divBdr>
        </w:div>
      </w:divsChild>
    </w:div>
    <w:div w:id="494567155">
      <w:bodyDiv w:val="1"/>
      <w:marLeft w:val="0"/>
      <w:marRight w:val="0"/>
      <w:marTop w:val="0"/>
      <w:marBottom w:val="0"/>
      <w:divBdr>
        <w:top w:val="none" w:sz="0" w:space="0" w:color="auto"/>
        <w:left w:val="none" w:sz="0" w:space="0" w:color="auto"/>
        <w:bottom w:val="none" w:sz="0" w:space="0" w:color="auto"/>
        <w:right w:val="none" w:sz="0" w:space="0" w:color="auto"/>
      </w:divBdr>
    </w:div>
    <w:div w:id="513033056">
      <w:bodyDiv w:val="1"/>
      <w:marLeft w:val="0"/>
      <w:marRight w:val="0"/>
      <w:marTop w:val="0"/>
      <w:marBottom w:val="0"/>
      <w:divBdr>
        <w:top w:val="none" w:sz="0" w:space="0" w:color="auto"/>
        <w:left w:val="none" w:sz="0" w:space="0" w:color="auto"/>
        <w:bottom w:val="none" w:sz="0" w:space="0" w:color="auto"/>
        <w:right w:val="none" w:sz="0" w:space="0" w:color="auto"/>
      </w:divBdr>
    </w:div>
    <w:div w:id="1605336596">
      <w:bodyDiv w:val="1"/>
      <w:marLeft w:val="0"/>
      <w:marRight w:val="0"/>
      <w:marTop w:val="0"/>
      <w:marBottom w:val="0"/>
      <w:divBdr>
        <w:top w:val="none" w:sz="0" w:space="0" w:color="auto"/>
        <w:left w:val="none" w:sz="0" w:space="0" w:color="auto"/>
        <w:bottom w:val="none" w:sz="0" w:space="0" w:color="auto"/>
        <w:right w:val="none" w:sz="0" w:space="0" w:color="auto"/>
      </w:divBdr>
    </w:div>
    <w:div w:id="1696806413">
      <w:bodyDiv w:val="1"/>
      <w:marLeft w:val="0"/>
      <w:marRight w:val="0"/>
      <w:marTop w:val="0"/>
      <w:marBottom w:val="0"/>
      <w:divBdr>
        <w:top w:val="none" w:sz="0" w:space="0" w:color="auto"/>
        <w:left w:val="none" w:sz="0" w:space="0" w:color="auto"/>
        <w:bottom w:val="none" w:sz="0" w:space="0" w:color="auto"/>
        <w:right w:val="none" w:sz="0" w:space="0" w:color="auto"/>
      </w:divBdr>
    </w:div>
    <w:div w:id="1740404432">
      <w:bodyDiv w:val="1"/>
      <w:marLeft w:val="0"/>
      <w:marRight w:val="0"/>
      <w:marTop w:val="0"/>
      <w:marBottom w:val="0"/>
      <w:divBdr>
        <w:top w:val="none" w:sz="0" w:space="0" w:color="auto"/>
        <w:left w:val="none" w:sz="0" w:space="0" w:color="auto"/>
        <w:bottom w:val="none" w:sz="0" w:space="0" w:color="auto"/>
        <w:right w:val="none" w:sz="0" w:space="0" w:color="auto"/>
      </w:divBdr>
    </w:div>
    <w:div w:id="1805926213">
      <w:bodyDiv w:val="1"/>
      <w:marLeft w:val="0"/>
      <w:marRight w:val="0"/>
      <w:marTop w:val="0"/>
      <w:marBottom w:val="0"/>
      <w:divBdr>
        <w:top w:val="none" w:sz="0" w:space="0" w:color="auto"/>
        <w:left w:val="none" w:sz="0" w:space="0" w:color="auto"/>
        <w:bottom w:val="none" w:sz="0" w:space="0" w:color="auto"/>
        <w:right w:val="none" w:sz="0" w:space="0" w:color="auto"/>
      </w:divBdr>
    </w:div>
    <w:div w:id="200261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dicarestatistics.humanservices.gov.au/statistics/do.jsp?_PROGRAM=/statistics/std_workdays&amp;RPT_FMT=workdays&amp;START_DT=0&amp;END_DT=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bs.gov.au/methodologies/socio-economic-indexes-areas-seifa-australia-methodology/2021"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81773-B79B-4852-9F16-0CA127AAC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2254</Words>
  <Characters>12850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Medicare Statistics: Explanatory Notes</vt:lpstr>
    </vt:vector>
  </TitlesOfParts>
  <Company/>
  <LinksUpToDate>false</LinksUpToDate>
  <CharactersWithSpaces>15074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Statistics: Explanatory Notes</dc:title>
  <dc:subject>Medicare</dc:subject>
  <dc:creator>Australian Government Department of Health and Aged Care</dc:creator>
  <cp:keywords>Medicare; MBS;</cp:keywords>
  <dc:description/>
  <cp:lastModifiedBy>MASCHKE, Elvia</cp:lastModifiedBy>
  <cp:revision>4</cp:revision>
  <cp:lastPrinted>2023-11-07T05:54:00Z</cp:lastPrinted>
  <dcterms:created xsi:type="dcterms:W3CDTF">2024-02-18T09:37:00Z</dcterms:created>
  <dcterms:modified xsi:type="dcterms:W3CDTF">2024-02-18T09:41:00Z</dcterms:modified>
</cp:coreProperties>
</file>