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3860228"/>
        <w:docPartObj>
          <w:docPartGallery w:val="Cover Pages"/>
          <w:docPartUnique/>
        </w:docPartObj>
      </w:sdtPr>
      <w:sdtContent>
        <w:p w14:paraId="6C11418B" w14:textId="77777777" w:rsidR="00F1314C" w:rsidRDefault="00F1314C"/>
        <w:p w14:paraId="530B44E0" w14:textId="77777777" w:rsidR="00F1314C" w:rsidRPr="00723EBD" w:rsidRDefault="00F1314C">
          <w:r w:rsidRPr="00723EBD">
            <w:rPr>
              <w:noProof/>
            </w:rPr>
            <mc:AlternateContent>
              <mc:Choice Requires="wps">
                <w:drawing>
                  <wp:anchor distT="0" distB="0" distL="182880" distR="182880" simplePos="0" relativeHeight="251660288" behindDoc="0" locked="0" layoutInCell="1" allowOverlap="1" wp14:anchorId="0F47EAD0" wp14:editId="031F1967">
                    <wp:simplePos x="0" y="0"/>
                    <wp:positionH relativeFrom="margin">
                      <wp:posOffset>142875</wp:posOffset>
                    </wp:positionH>
                    <wp:positionV relativeFrom="page">
                      <wp:posOffset>5753100</wp:posOffset>
                    </wp:positionV>
                    <wp:extent cx="4817745" cy="1933575"/>
                    <wp:effectExtent l="0" t="0" r="1905"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81774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E2654" w14:textId="075A4566" w:rsidR="001B2771" w:rsidRDefault="00000000" w:rsidP="00CC6053">
                                <w:pPr>
                                  <w:pStyle w:val="NoSpacing"/>
                                  <w:spacing w:before="4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1B2771">
                                      <w:rPr>
                                        <w:color w:val="4472C4" w:themeColor="accent1"/>
                                        <w:sz w:val="72"/>
                                        <w:szCs w:val="72"/>
                                      </w:rPr>
                                      <w:t>Per- and Polyfluoroalkyl Substances (PFAS)</w:t>
                                    </w:r>
                                  </w:sdtContent>
                                </w:sdt>
                              </w:p>
                              <w:p w14:paraId="20F1665E" w14:textId="67911CF0" w:rsidR="001B2771" w:rsidRPr="00CC6053" w:rsidRDefault="00000000">
                                <w:pPr>
                                  <w:pStyle w:val="NoSpacing"/>
                                  <w:spacing w:before="40" w:after="40"/>
                                  <w:rPr>
                                    <w:caps/>
                                    <w:color w:val="1F4E79" w:themeColor="accent5" w:themeShade="80"/>
                                    <w:sz w:val="36"/>
                                    <w:szCs w:val="36"/>
                                  </w:rPr>
                                </w:pPr>
                                <w:sdt>
                                  <w:sdtPr>
                                    <w:rPr>
                                      <w:caps/>
                                      <w:color w:val="1F4E79" w:themeColor="accent5" w:themeShade="80"/>
                                      <w:sz w:val="36"/>
                                      <w:szCs w:val="3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r w:rsidR="001B2771">
                                      <w:rPr>
                                        <w:caps/>
                                        <w:color w:val="1F4E79" w:themeColor="accent5" w:themeShade="80"/>
                                        <w:sz w:val="36"/>
                                        <w:szCs w:val="36"/>
                                      </w:rPr>
                                      <w:t>e</w:t>
                                    </w:r>
                                    <w:r w:rsidR="001B2771" w:rsidRPr="00CC6053">
                                      <w:rPr>
                                        <w:caps/>
                                        <w:color w:val="1F4E79" w:themeColor="accent5" w:themeShade="80"/>
                                        <w:sz w:val="36"/>
                                        <w:szCs w:val="36"/>
                                      </w:rPr>
                                      <w:t>nHealth guidance statement</w:t>
                                    </w:r>
                                  </w:sdtContent>
                                </w:sdt>
                              </w:p>
                              <w:sdt>
                                <w:sdtPr>
                                  <w:rPr>
                                    <w:caps/>
                                    <w:color w:val="5B9BD5" w:themeColor="accent5"/>
                                    <w:sz w:val="32"/>
                                    <w:szCs w:val="3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7F0F5BE" w14:textId="2372E739" w:rsidR="001B2771" w:rsidRPr="00CC6053" w:rsidRDefault="00E16D59">
                                    <w:pPr>
                                      <w:pStyle w:val="NoSpacing"/>
                                      <w:spacing w:before="80" w:after="40"/>
                                      <w:rPr>
                                        <w:caps/>
                                        <w:color w:val="5B9BD5" w:themeColor="accent5"/>
                                        <w:sz w:val="32"/>
                                        <w:szCs w:val="32"/>
                                      </w:rPr>
                                    </w:pPr>
                                    <w:r>
                                      <w:rPr>
                                        <w:caps/>
                                        <w:color w:val="5B9BD5" w:themeColor="accent5"/>
                                        <w:sz w:val="32"/>
                                        <w:szCs w:val="32"/>
                                      </w:rPr>
                                      <w:t>Australian Government Department of Health and Aged Care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47EAD0" id="_x0000_t202" coordsize="21600,21600" o:spt="202" path="m,l,21600r21600,l21600,xe">
                    <v:stroke joinstyle="miter"/>
                    <v:path gradientshapeok="t" o:connecttype="rect"/>
                  </v:shapetype>
                  <v:shape id="Text Box 131" o:spid="_x0000_s1026" type="#_x0000_t202" style="position:absolute;margin-left:11.25pt;margin-top:453pt;width:379.35pt;height:152.2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" filled="f" stroked="f" strokeweight=".5pt">
                    <v:textbox inset="0,0,0,0">
                      <w:txbxContent>
                        <w:p w14:paraId="725E2654" w14:textId="075A4566" w:rsidR="001B2771" w:rsidRDefault="00000000" w:rsidP="00CC6053">
                          <w:pPr>
                            <w:pStyle w:val="NoSpacing"/>
                            <w:spacing w:before="4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1B2771">
                                <w:rPr>
                                  <w:color w:val="4472C4" w:themeColor="accent1"/>
                                  <w:sz w:val="72"/>
                                  <w:szCs w:val="72"/>
                                </w:rPr>
                                <w:t>Per- and Polyfluoroalkyl Substances (PFAS)</w:t>
                              </w:r>
                            </w:sdtContent>
                          </w:sdt>
                        </w:p>
                        <w:p w14:paraId="20F1665E" w14:textId="67911CF0" w:rsidR="001B2771" w:rsidRPr="00CC6053" w:rsidRDefault="00000000">
                          <w:pPr>
                            <w:pStyle w:val="NoSpacing"/>
                            <w:spacing w:before="40" w:after="40"/>
                            <w:rPr>
                              <w:caps/>
                              <w:color w:val="1F4E79" w:themeColor="accent5" w:themeShade="80"/>
                              <w:sz w:val="36"/>
                              <w:szCs w:val="36"/>
                            </w:rPr>
                          </w:pPr>
                          <w:sdt>
                            <w:sdtPr>
                              <w:rPr>
                                <w:caps/>
                                <w:color w:val="1F4E79" w:themeColor="accent5" w:themeShade="80"/>
                                <w:sz w:val="36"/>
                                <w:szCs w:val="3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r w:rsidR="001B2771">
                                <w:rPr>
                                  <w:caps/>
                                  <w:color w:val="1F4E79" w:themeColor="accent5" w:themeShade="80"/>
                                  <w:sz w:val="36"/>
                                  <w:szCs w:val="36"/>
                                </w:rPr>
                                <w:t>e</w:t>
                              </w:r>
                              <w:r w:rsidR="001B2771" w:rsidRPr="00CC6053">
                                <w:rPr>
                                  <w:caps/>
                                  <w:color w:val="1F4E79" w:themeColor="accent5" w:themeShade="80"/>
                                  <w:sz w:val="36"/>
                                  <w:szCs w:val="36"/>
                                </w:rPr>
                                <w:t>nHealth guidance statement</w:t>
                              </w:r>
                            </w:sdtContent>
                          </w:sdt>
                        </w:p>
                        <w:sdt>
                          <w:sdtPr>
                            <w:rPr>
                              <w:caps/>
                              <w:color w:val="5B9BD5" w:themeColor="accent5"/>
                              <w:sz w:val="32"/>
                              <w:szCs w:val="3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7F0F5BE" w14:textId="2372E739" w:rsidR="001B2771" w:rsidRPr="00CC6053" w:rsidRDefault="00E16D59">
                              <w:pPr>
                                <w:pStyle w:val="NoSpacing"/>
                                <w:spacing w:before="80" w:after="40"/>
                                <w:rPr>
                                  <w:caps/>
                                  <w:color w:val="5B9BD5" w:themeColor="accent5"/>
                                  <w:sz w:val="32"/>
                                  <w:szCs w:val="32"/>
                                </w:rPr>
                              </w:pPr>
                              <w:r>
                                <w:rPr>
                                  <w:caps/>
                                  <w:color w:val="5B9BD5" w:themeColor="accent5"/>
                                  <w:sz w:val="32"/>
                                  <w:szCs w:val="32"/>
                                </w:rPr>
                                <w:t>Australian Government Department of Health and Aged Care</w:t>
                              </w:r>
                            </w:p>
                          </w:sdtContent>
                        </w:sdt>
                      </w:txbxContent>
                    </v:textbox>
                    <w10:wrap type="square" anchorx="margin" anchory="page"/>
                  </v:shape>
                </w:pict>
              </mc:Fallback>
            </mc:AlternateContent>
          </w:r>
          <w:r w:rsidR="00CC6053" w:rsidRPr="00723EBD">
            <w:rPr>
              <w:noProof/>
            </w:rPr>
            <w:drawing>
              <wp:inline distT="0" distB="0" distL="0" distR="0" wp14:anchorId="7C72B833" wp14:editId="5C5F163C">
                <wp:extent cx="6005830" cy="52372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918" cy="536809"/>
                        </a:xfrm>
                        <a:prstGeom prst="rect">
                          <a:avLst/>
                        </a:prstGeom>
                        <a:noFill/>
                      </pic:spPr>
                    </pic:pic>
                  </a:graphicData>
                </a:graphic>
              </wp:inline>
            </w:drawing>
          </w:r>
          <w:r w:rsidRPr="00723EBD">
            <w:br w:type="page"/>
          </w:r>
        </w:p>
      </w:sdtContent>
    </w:sdt>
    <w:sdt>
      <w:sdtPr>
        <w:rPr>
          <w:rFonts w:asciiTheme="minorHAnsi" w:eastAsiaTheme="minorHAnsi" w:hAnsiTheme="minorHAnsi" w:cstheme="minorBidi"/>
          <w:color w:val="auto"/>
          <w:sz w:val="22"/>
          <w:szCs w:val="22"/>
          <w:lang w:val="en-AU"/>
        </w:rPr>
        <w:id w:val="840352222"/>
        <w:docPartObj>
          <w:docPartGallery w:val="Table of Contents"/>
          <w:docPartUnique/>
        </w:docPartObj>
      </w:sdtPr>
      <w:sdtEndPr>
        <w:rPr>
          <w:b/>
          <w:bCs/>
          <w:noProof/>
        </w:rPr>
      </w:sdtEndPr>
      <w:sdtContent>
        <w:p w14:paraId="4F604E71" w14:textId="4DB0F747" w:rsidR="00367B31" w:rsidRPr="00723EBD" w:rsidRDefault="00367B31">
          <w:pPr>
            <w:pStyle w:val="TOCHeading"/>
          </w:pPr>
          <w:r w:rsidRPr="00723EBD">
            <w:t>Table of Contents</w:t>
          </w:r>
        </w:p>
        <w:p w14:paraId="150ADF8B" w14:textId="79B03C42" w:rsidR="00F95738" w:rsidRDefault="00367B31">
          <w:pPr>
            <w:pStyle w:val="TOC2"/>
            <w:tabs>
              <w:tab w:val="right" w:leader="dot" w:pos="9016"/>
            </w:tabs>
            <w:rPr>
              <w:rFonts w:eastAsiaTheme="minorEastAsia"/>
              <w:noProof/>
              <w:lang w:eastAsia="en-AU"/>
            </w:rPr>
          </w:pPr>
          <w:r w:rsidRPr="00723EBD">
            <w:fldChar w:fldCharType="begin"/>
          </w:r>
          <w:r w:rsidRPr="00723EBD">
            <w:instrText xml:space="preserve"> TOC \o "1-3" \h \z \u </w:instrText>
          </w:r>
          <w:r w:rsidRPr="00723EBD">
            <w:fldChar w:fldCharType="separate"/>
          </w:r>
          <w:hyperlink w:anchor="_Toc152164231" w:history="1">
            <w:r w:rsidR="00F95738" w:rsidRPr="0084654C">
              <w:rPr>
                <w:rStyle w:val="Hyperlink"/>
                <w:noProof/>
              </w:rPr>
              <w:t>Introduction</w:t>
            </w:r>
            <w:r w:rsidR="00F95738">
              <w:rPr>
                <w:noProof/>
                <w:webHidden/>
              </w:rPr>
              <w:tab/>
            </w:r>
            <w:r w:rsidR="00F95738">
              <w:rPr>
                <w:noProof/>
                <w:webHidden/>
              </w:rPr>
              <w:fldChar w:fldCharType="begin"/>
            </w:r>
            <w:r w:rsidR="00F95738">
              <w:rPr>
                <w:noProof/>
                <w:webHidden/>
              </w:rPr>
              <w:instrText xml:space="preserve"> PAGEREF _Toc152164231 \h </w:instrText>
            </w:r>
            <w:r w:rsidR="00F95738">
              <w:rPr>
                <w:noProof/>
                <w:webHidden/>
              </w:rPr>
            </w:r>
            <w:r w:rsidR="00F95738">
              <w:rPr>
                <w:noProof/>
                <w:webHidden/>
              </w:rPr>
              <w:fldChar w:fldCharType="separate"/>
            </w:r>
            <w:r w:rsidR="00F95738">
              <w:rPr>
                <w:noProof/>
                <w:webHidden/>
              </w:rPr>
              <w:t>2</w:t>
            </w:r>
            <w:r w:rsidR="00F95738">
              <w:rPr>
                <w:noProof/>
                <w:webHidden/>
              </w:rPr>
              <w:fldChar w:fldCharType="end"/>
            </w:r>
          </w:hyperlink>
        </w:p>
        <w:p w14:paraId="5D2EA0C6" w14:textId="36782D99" w:rsidR="00F95738" w:rsidRDefault="00000000">
          <w:pPr>
            <w:pStyle w:val="TOC2"/>
            <w:tabs>
              <w:tab w:val="right" w:leader="dot" w:pos="9016"/>
            </w:tabs>
            <w:rPr>
              <w:rFonts w:eastAsiaTheme="minorEastAsia"/>
              <w:noProof/>
              <w:lang w:eastAsia="en-AU"/>
            </w:rPr>
          </w:pPr>
          <w:hyperlink w:anchor="_Toc152164232" w:history="1">
            <w:r w:rsidR="00F95738" w:rsidRPr="0084654C">
              <w:rPr>
                <w:rStyle w:val="Hyperlink"/>
                <w:noProof/>
              </w:rPr>
              <w:t>Human exposure pathways</w:t>
            </w:r>
            <w:r w:rsidR="00F95738">
              <w:rPr>
                <w:noProof/>
                <w:webHidden/>
              </w:rPr>
              <w:tab/>
            </w:r>
            <w:r w:rsidR="00F95738">
              <w:rPr>
                <w:noProof/>
                <w:webHidden/>
              </w:rPr>
              <w:fldChar w:fldCharType="begin"/>
            </w:r>
            <w:r w:rsidR="00F95738">
              <w:rPr>
                <w:noProof/>
                <w:webHidden/>
              </w:rPr>
              <w:instrText xml:space="preserve"> PAGEREF _Toc152164232 \h </w:instrText>
            </w:r>
            <w:r w:rsidR="00F95738">
              <w:rPr>
                <w:noProof/>
                <w:webHidden/>
              </w:rPr>
            </w:r>
            <w:r w:rsidR="00F95738">
              <w:rPr>
                <w:noProof/>
                <w:webHidden/>
              </w:rPr>
              <w:fldChar w:fldCharType="separate"/>
            </w:r>
            <w:r w:rsidR="00F95738">
              <w:rPr>
                <w:noProof/>
                <w:webHidden/>
              </w:rPr>
              <w:t>2</w:t>
            </w:r>
            <w:r w:rsidR="00F95738">
              <w:rPr>
                <w:noProof/>
                <w:webHidden/>
              </w:rPr>
              <w:fldChar w:fldCharType="end"/>
            </w:r>
          </w:hyperlink>
        </w:p>
        <w:p w14:paraId="60DABE7E" w14:textId="5001E1BF" w:rsidR="00F95738" w:rsidRDefault="00000000">
          <w:pPr>
            <w:pStyle w:val="TOC2"/>
            <w:tabs>
              <w:tab w:val="right" w:leader="dot" w:pos="9016"/>
            </w:tabs>
            <w:rPr>
              <w:rFonts w:eastAsiaTheme="minorEastAsia"/>
              <w:noProof/>
              <w:lang w:eastAsia="en-AU"/>
            </w:rPr>
          </w:pPr>
          <w:hyperlink w:anchor="_Toc152164233" w:history="1">
            <w:r w:rsidR="00F95738" w:rsidRPr="0084654C">
              <w:rPr>
                <w:rStyle w:val="Hyperlink"/>
                <w:noProof/>
              </w:rPr>
              <w:t>PFAS and the general food supply</w:t>
            </w:r>
            <w:r w:rsidR="00F95738">
              <w:rPr>
                <w:noProof/>
                <w:webHidden/>
              </w:rPr>
              <w:tab/>
            </w:r>
            <w:r w:rsidR="00F95738">
              <w:rPr>
                <w:noProof/>
                <w:webHidden/>
              </w:rPr>
              <w:fldChar w:fldCharType="begin"/>
            </w:r>
            <w:r w:rsidR="00F95738">
              <w:rPr>
                <w:noProof/>
                <w:webHidden/>
              </w:rPr>
              <w:instrText xml:space="preserve"> PAGEREF _Toc152164233 \h </w:instrText>
            </w:r>
            <w:r w:rsidR="00F95738">
              <w:rPr>
                <w:noProof/>
                <w:webHidden/>
              </w:rPr>
            </w:r>
            <w:r w:rsidR="00F95738">
              <w:rPr>
                <w:noProof/>
                <w:webHidden/>
              </w:rPr>
              <w:fldChar w:fldCharType="separate"/>
            </w:r>
            <w:r w:rsidR="00F95738">
              <w:rPr>
                <w:noProof/>
                <w:webHidden/>
              </w:rPr>
              <w:t>3</w:t>
            </w:r>
            <w:r w:rsidR="00F95738">
              <w:rPr>
                <w:noProof/>
                <w:webHidden/>
              </w:rPr>
              <w:fldChar w:fldCharType="end"/>
            </w:r>
          </w:hyperlink>
        </w:p>
        <w:p w14:paraId="42CADD90" w14:textId="330C51C5" w:rsidR="00F95738" w:rsidRDefault="00000000">
          <w:pPr>
            <w:pStyle w:val="TOC2"/>
            <w:tabs>
              <w:tab w:val="right" w:leader="dot" w:pos="9016"/>
            </w:tabs>
            <w:rPr>
              <w:rFonts w:eastAsiaTheme="minorEastAsia"/>
              <w:noProof/>
              <w:lang w:eastAsia="en-AU"/>
            </w:rPr>
          </w:pPr>
          <w:hyperlink w:anchor="_Toc152164234" w:history="1">
            <w:r w:rsidR="00F95738" w:rsidRPr="0084654C">
              <w:rPr>
                <w:rStyle w:val="Hyperlink"/>
                <w:noProof/>
              </w:rPr>
              <w:t>PFAS and drinking water supplies</w:t>
            </w:r>
            <w:r w:rsidR="00F95738">
              <w:rPr>
                <w:noProof/>
                <w:webHidden/>
              </w:rPr>
              <w:tab/>
            </w:r>
            <w:r w:rsidR="00F95738">
              <w:rPr>
                <w:noProof/>
                <w:webHidden/>
              </w:rPr>
              <w:fldChar w:fldCharType="begin"/>
            </w:r>
            <w:r w:rsidR="00F95738">
              <w:rPr>
                <w:noProof/>
                <w:webHidden/>
              </w:rPr>
              <w:instrText xml:space="preserve"> PAGEREF _Toc152164234 \h </w:instrText>
            </w:r>
            <w:r w:rsidR="00F95738">
              <w:rPr>
                <w:noProof/>
                <w:webHidden/>
              </w:rPr>
            </w:r>
            <w:r w:rsidR="00F95738">
              <w:rPr>
                <w:noProof/>
                <w:webHidden/>
              </w:rPr>
              <w:fldChar w:fldCharType="separate"/>
            </w:r>
            <w:r w:rsidR="00F95738">
              <w:rPr>
                <w:noProof/>
                <w:webHidden/>
              </w:rPr>
              <w:t>3</w:t>
            </w:r>
            <w:r w:rsidR="00F95738">
              <w:rPr>
                <w:noProof/>
                <w:webHidden/>
              </w:rPr>
              <w:fldChar w:fldCharType="end"/>
            </w:r>
          </w:hyperlink>
        </w:p>
        <w:p w14:paraId="7BA2A577" w14:textId="6BDB3A43" w:rsidR="00F95738" w:rsidRDefault="00000000">
          <w:pPr>
            <w:pStyle w:val="TOC2"/>
            <w:tabs>
              <w:tab w:val="right" w:leader="dot" w:pos="9016"/>
            </w:tabs>
            <w:rPr>
              <w:rFonts w:eastAsiaTheme="minorEastAsia"/>
              <w:noProof/>
              <w:lang w:eastAsia="en-AU"/>
            </w:rPr>
          </w:pPr>
          <w:hyperlink w:anchor="_Toc152164235" w:history="1">
            <w:r w:rsidR="00F95738" w:rsidRPr="0084654C">
              <w:rPr>
                <w:rStyle w:val="Hyperlink"/>
                <w:noProof/>
              </w:rPr>
              <w:t>What evidence is there of health effects from exposure to PFAS?</w:t>
            </w:r>
            <w:r w:rsidR="00F95738">
              <w:rPr>
                <w:noProof/>
                <w:webHidden/>
              </w:rPr>
              <w:tab/>
            </w:r>
            <w:r w:rsidR="00F95738">
              <w:rPr>
                <w:noProof/>
                <w:webHidden/>
              </w:rPr>
              <w:fldChar w:fldCharType="begin"/>
            </w:r>
            <w:r w:rsidR="00F95738">
              <w:rPr>
                <w:noProof/>
                <w:webHidden/>
              </w:rPr>
              <w:instrText xml:space="preserve"> PAGEREF _Toc152164235 \h </w:instrText>
            </w:r>
            <w:r w:rsidR="00F95738">
              <w:rPr>
                <w:noProof/>
                <w:webHidden/>
              </w:rPr>
            </w:r>
            <w:r w:rsidR="00F95738">
              <w:rPr>
                <w:noProof/>
                <w:webHidden/>
              </w:rPr>
              <w:fldChar w:fldCharType="separate"/>
            </w:r>
            <w:r w:rsidR="00F95738">
              <w:rPr>
                <w:noProof/>
                <w:webHidden/>
              </w:rPr>
              <w:t>4</w:t>
            </w:r>
            <w:r w:rsidR="00F95738">
              <w:rPr>
                <w:noProof/>
                <w:webHidden/>
              </w:rPr>
              <w:fldChar w:fldCharType="end"/>
            </w:r>
          </w:hyperlink>
        </w:p>
        <w:p w14:paraId="29B2C35D" w14:textId="38754E23" w:rsidR="00F95738" w:rsidRDefault="00000000">
          <w:pPr>
            <w:pStyle w:val="TOC2"/>
            <w:tabs>
              <w:tab w:val="right" w:leader="dot" w:pos="9016"/>
            </w:tabs>
            <w:rPr>
              <w:rFonts w:eastAsiaTheme="minorEastAsia"/>
              <w:noProof/>
              <w:lang w:eastAsia="en-AU"/>
            </w:rPr>
          </w:pPr>
          <w:hyperlink w:anchor="_Toc152164236" w:history="1">
            <w:r w:rsidR="00F95738" w:rsidRPr="0084654C">
              <w:rPr>
                <w:rStyle w:val="Hyperlink"/>
                <w:noProof/>
              </w:rPr>
              <w:t>Mental health and wellbeing</w:t>
            </w:r>
            <w:r w:rsidR="00F95738">
              <w:rPr>
                <w:noProof/>
                <w:webHidden/>
              </w:rPr>
              <w:tab/>
            </w:r>
            <w:r w:rsidR="00F95738">
              <w:rPr>
                <w:noProof/>
                <w:webHidden/>
              </w:rPr>
              <w:fldChar w:fldCharType="begin"/>
            </w:r>
            <w:r w:rsidR="00F95738">
              <w:rPr>
                <w:noProof/>
                <w:webHidden/>
              </w:rPr>
              <w:instrText xml:space="preserve"> PAGEREF _Toc152164236 \h </w:instrText>
            </w:r>
            <w:r w:rsidR="00F95738">
              <w:rPr>
                <w:noProof/>
                <w:webHidden/>
              </w:rPr>
            </w:r>
            <w:r w:rsidR="00F95738">
              <w:rPr>
                <w:noProof/>
                <w:webHidden/>
              </w:rPr>
              <w:fldChar w:fldCharType="separate"/>
            </w:r>
            <w:r w:rsidR="00F95738">
              <w:rPr>
                <w:noProof/>
                <w:webHidden/>
              </w:rPr>
              <w:t>5</w:t>
            </w:r>
            <w:r w:rsidR="00F95738">
              <w:rPr>
                <w:noProof/>
                <w:webHidden/>
              </w:rPr>
              <w:fldChar w:fldCharType="end"/>
            </w:r>
          </w:hyperlink>
        </w:p>
        <w:p w14:paraId="49FD8773" w14:textId="3846D103" w:rsidR="00F95738" w:rsidRDefault="00000000">
          <w:pPr>
            <w:pStyle w:val="TOC2"/>
            <w:tabs>
              <w:tab w:val="right" w:leader="dot" w:pos="9016"/>
            </w:tabs>
            <w:rPr>
              <w:rFonts w:eastAsiaTheme="minorEastAsia"/>
              <w:noProof/>
              <w:lang w:eastAsia="en-AU"/>
            </w:rPr>
          </w:pPr>
          <w:hyperlink w:anchor="_Toc152164237" w:history="1">
            <w:r w:rsidR="00F95738" w:rsidRPr="0084654C">
              <w:rPr>
                <w:rStyle w:val="Hyperlink"/>
                <w:noProof/>
              </w:rPr>
              <w:t>Pregnancy</w:t>
            </w:r>
            <w:r w:rsidR="00F95738">
              <w:rPr>
                <w:noProof/>
                <w:webHidden/>
              </w:rPr>
              <w:tab/>
            </w:r>
            <w:r w:rsidR="00F95738">
              <w:rPr>
                <w:noProof/>
                <w:webHidden/>
              </w:rPr>
              <w:fldChar w:fldCharType="begin"/>
            </w:r>
            <w:r w:rsidR="00F95738">
              <w:rPr>
                <w:noProof/>
                <w:webHidden/>
              </w:rPr>
              <w:instrText xml:space="preserve"> PAGEREF _Toc152164237 \h </w:instrText>
            </w:r>
            <w:r w:rsidR="00F95738">
              <w:rPr>
                <w:noProof/>
                <w:webHidden/>
              </w:rPr>
            </w:r>
            <w:r w:rsidR="00F95738">
              <w:rPr>
                <w:noProof/>
                <w:webHidden/>
              </w:rPr>
              <w:fldChar w:fldCharType="separate"/>
            </w:r>
            <w:r w:rsidR="00F95738">
              <w:rPr>
                <w:noProof/>
                <w:webHidden/>
              </w:rPr>
              <w:t>5</w:t>
            </w:r>
            <w:r w:rsidR="00F95738">
              <w:rPr>
                <w:noProof/>
                <w:webHidden/>
              </w:rPr>
              <w:fldChar w:fldCharType="end"/>
            </w:r>
          </w:hyperlink>
        </w:p>
        <w:p w14:paraId="1E421741" w14:textId="35D51CFB" w:rsidR="00F95738" w:rsidRDefault="00000000">
          <w:pPr>
            <w:pStyle w:val="TOC2"/>
            <w:tabs>
              <w:tab w:val="right" w:leader="dot" w:pos="9016"/>
            </w:tabs>
            <w:rPr>
              <w:rFonts w:eastAsiaTheme="minorEastAsia"/>
              <w:noProof/>
              <w:lang w:eastAsia="en-AU"/>
            </w:rPr>
          </w:pPr>
          <w:hyperlink w:anchor="_Toc152164238" w:history="1">
            <w:r w:rsidR="00F95738" w:rsidRPr="0084654C">
              <w:rPr>
                <w:rStyle w:val="Hyperlink"/>
                <w:noProof/>
              </w:rPr>
              <w:t>Breast feeding</w:t>
            </w:r>
            <w:r w:rsidR="00F95738">
              <w:rPr>
                <w:noProof/>
                <w:webHidden/>
              </w:rPr>
              <w:tab/>
            </w:r>
            <w:r w:rsidR="00F95738">
              <w:rPr>
                <w:noProof/>
                <w:webHidden/>
              </w:rPr>
              <w:fldChar w:fldCharType="begin"/>
            </w:r>
            <w:r w:rsidR="00F95738">
              <w:rPr>
                <w:noProof/>
                <w:webHidden/>
              </w:rPr>
              <w:instrText xml:space="preserve"> PAGEREF _Toc152164238 \h </w:instrText>
            </w:r>
            <w:r w:rsidR="00F95738">
              <w:rPr>
                <w:noProof/>
                <w:webHidden/>
              </w:rPr>
            </w:r>
            <w:r w:rsidR="00F95738">
              <w:rPr>
                <w:noProof/>
                <w:webHidden/>
              </w:rPr>
              <w:fldChar w:fldCharType="separate"/>
            </w:r>
            <w:r w:rsidR="00F95738">
              <w:rPr>
                <w:noProof/>
                <w:webHidden/>
              </w:rPr>
              <w:t>5</w:t>
            </w:r>
            <w:r w:rsidR="00F95738">
              <w:rPr>
                <w:noProof/>
                <w:webHidden/>
              </w:rPr>
              <w:fldChar w:fldCharType="end"/>
            </w:r>
          </w:hyperlink>
        </w:p>
        <w:p w14:paraId="6882CF3C" w14:textId="1705ECB3" w:rsidR="00F95738" w:rsidRDefault="00000000">
          <w:pPr>
            <w:pStyle w:val="TOC2"/>
            <w:tabs>
              <w:tab w:val="right" w:leader="dot" w:pos="9016"/>
            </w:tabs>
            <w:rPr>
              <w:rFonts w:eastAsiaTheme="minorEastAsia"/>
              <w:noProof/>
              <w:lang w:eastAsia="en-AU"/>
            </w:rPr>
          </w:pPr>
          <w:hyperlink w:anchor="_Toc152164239" w:history="1">
            <w:r w:rsidR="00F95738" w:rsidRPr="0084654C">
              <w:rPr>
                <w:rStyle w:val="Hyperlink"/>
                <w:noProof/>
              </w:rPr>
              <w:t>Blood tests</w:t>
            </w:r>
            <w:r w:rsidR="00F95738">
              <w:rPr>
                <w:noProof/>
                <w:webHidden/>
              </w:rPr>
              <w:tab/>
            </w:r>
            <w:r w:rsidR="00F95738">
              <w:rPr>
                <w:noProof/>
                <w:webHidden/>
              </w:rPr>
              <w:fldChar w:fldCharType="begin"/>
            </w:r>
            <w:r w:rsidR="00F95738">
              <w:rPr>
                <w:noProof/>
                <w:webHidden/>
              </w:rPr>
              <w:instrText xml:space="preserve"> PAGEREF _Toc152164239 \h </w:instrText>
            </w:r>
            <w:r w:rsidR="00F95738">
              <w:rPr>
                <w:noProof/>
                <w:webHidden/>
              </w:rPr>
            </w:r>
            <w:r w:rsidR="00F95738">
              <w:rPr>
                <w:noProof/>
                <w:webHidden/>
              </w:rPr>
              <w:fldChar w:fldCharType="separate"/>
            </w:r>
            <w:r w:rsidR="00F95738">
              <w:rPr>
                <w:noProof/>
                <w:webHidden/>
              </w:rPr>
              <w:t>5</w:t>
            </w:r>
            <w:r w:rsidR="00F95738">
              <w:rPr>
                <w:noProof/>
                <w:webHidden/>
              </w:rPr>
              <w:fldChar w:fldCharType="end"/>
            </w:r>
          </w:hyperlink>
        </w:p>
        <w:p w14:paraId="7D551A98" w14:textId="2CC528A4" w:rsidR="00F95738" w:rsidRDefault="00000000">
          <w:pPr>
            <w:pStyle w:val="TOC2"/>
            <w:tabs>
              <w:tab w:val="right" w:leader="dot" w:pos="9016"/>
            </w:tabs>
            <w:rPr>
              <w:rFonts w:eastAsiaTheme="minorEastAsia"/>
              <w:noProof/>
              <w:lang w:eastAsia="en-AU"/>
            </w:rPr>
          </w:pPr>
          <w:hyperlink w:anchor="_Toc152164240" w:history="1">
            <w:r w:rsidR="00F95738" w:rsidRPr="0084654C">
              <w:rPr>
                <w:rStyle w:val="Hyperlink"/>
                <w:noProof/>
              </w:rPr>
              <w:t>Additional Information</w:t>
            </w:r>
            <w:r w:rsidR="00F95738">
              <w:rPr>
                <w:noProof/>
                <w:webHidden/>
              </w:rPr>
              <w:tab/>
            </w:r>
            <w:r w:rsidR="00F95738">
              <w:rPr>
                <w:noProof/>
                <w:webHidden/>
              </w:rPr>
              <w:fldChar w:fldCharType="begin"/>
            </w:r>
            <w:r w:rsidR="00F95738">
              <w:rPr>
                <w:noProof/>
                <w:webHidden/>
              </w:rPr>
              <w:instrText xml:space="preserve"> PAGEREF _Toc152164240 \h </w:instrText>
            </w:r>
            <w:r w:rsidR="00F95738">
              <w:rPr>
                <w:noProof/>
                <w:webHidden/>
              </w:rPr>
            </w:r>
            <w:r w:rsidR="00F95738">
              <w:rPr>
                <w:noProof/>
                <w:webHidden/>
              </w:rPr>
              <w:fldChar w:fldCharType="separate"/>
            </w:r>
            <w:r w:rsidR="00F95738">
              <w:rPr>
                <w:noProof/>
                <w:webHidden/>
              </w:rPr>
              <w:t>6</w:t>
            </w:r>
            <w:r w:rsidR="00F95738">
              <w:rPr>
                <w:noProof/>
                <w:webHidden/>
              </w:rPr>
              <w:fldChar w:fldCharType="end"/>
            </w:r>
          </w:hyperlink>
        </w:p>
        <w:p w14:paraId="3CAE30B9" w14:textId="44EA2557" w:rsidR="00367B31" w:rsidRPr="00723EBD" w:rsidRDefault="00367B31">
          <w:r w:rsidRPr="00723EBD">
            <w:rPr>
              <w:b/>
              <w:bCs/>
              <w:noProof/>
            </w:rPr>
            <w:fldChar w:fldCharType="end"/>
          </w:r>
        </w:p>
      </w:sdtContent>
    </w:sdt>
    <w:p w14:paraId="44C18618" w14:textId="4BD51650" w:rsidR="00163858" w:rsidRPr="00163858" w:rsidRDefault="00367B31" w:rsidP="00FF732B">
      <w:pPr>
        <w:pStyle w:val="Heading2"/>
        <w:spacing w:after="160"/>
      </w:pPr>
      <w:r w:rsidRPr="00723EBD">
        <w:br w:type="column"/>
      </w:r>
      <w:bookmarkStart w:id="0" w:name="_Toc152164231"/>
      <w:r w:rsidR="0002692C" w:rsidRPr="00723EBD">
        <w:t>Introduction</w:t>
      </w:r>
      <w:bookmarkEnd w:id="0"/>
      <w:r w:rsidR="00C51950" w:rsidRPr="00723EBD">
        <w:t xml:space="preserve"> </w:t>
      </w:r>
    </w:p>
    <w:p w14:paraId="55986715" w14:textId="7D01E328" w:rsidR="0002692C" w:rsidRPr="00723EBD" w:rsidRDefault="0002692C" w:rsidP="0002692C">
      <w:pPr>
        <w:rPr>
          <w:rFonts w:cstheme="minorHAnsi"/>
        </w:rPr>
      </w:pPr>
      <w:r w:rsidRPr="00723EBD">
        <w:rPr>
          <w:rFonts w:cstheme="minorHAnsi"/>
        </w:rPr>
        <w:t>Per- and poly-fluoroalkyl substances (PFAS) are a class of manufactured chemicals that have been used since the 1950s to make products that resist heat, stains, grease, and water.</w:t>
      </w:r>
    </w:p>
    <w:p w14:paraId="52B76872" w14:textId="32B61342" w:rsidR="0002692C" w:rsidRPr="009F294A" w:rsidRDefault="00D97E04" w:rsidP="0002692C">
      <w:pPr>
        <w:rPr>
          <w:rFonts w:cstheme="minorHAnsi"/>
        </w:rPr>
      </w:pPr>
      <w:r w:rsidRPr="009F294A">
        <w:t>Products that may contain PFAS include furniture and carpets treated for stain resistance, foams used for firefighting (also known as aqueous film-forming foam [AFFF]), packaged food containers, make up and personal care products, and cleaning products. The range of PFAS used in these is complex, and these may degrade to form other PFAS when released into the environment</w:t>
      </w:r>
      <w:r w:rsidR="009F294A" w:rsidRPr="009F294A">
        <w:t>.</w:t>
      </w:r>
    </w:p>
    <w:p w14:paraId="372EBECA" w14:textId="645565C7" w:rsidR="0002692C" w:rsidRPr="00723EBD" w:rsidRDefault="0002692C" w:rsidP="00723EBD">
      <w:pPr>
        <w:rPr>
          <w:rFonts w:cstheme="minorHAnsi"/>
        </w:rPr>
      </w:pPr>
      <w:r w:rsidRPr="00723EBD">
        <w:rPr>
          <w:rFonts w:cstheme="minorHAnsi"/>
        </w:rPr>
        <w:t>PFAS are of concern around the world because they are not readily broken down in the environment</w:t>
      </w:r>
      <w:r w:rsidR="00874B41">
        <w:rPr>
          <w:rFonts w:cstheme="minorHAnsi"/>
        </w:rPr>
        <w:t xml:space="preserve"> nor are they readily eliminated from the body. This means the</w:t>
      </w:r>
      <w:r w:rsidR="001F71F0">
        <w:rPr>
          <w:rFonts w:cstheme="minorHAnsi"/>
        </w:rPr>
        <w:t>y can</w:t>
      </w:r>
      <w:r w:rsidRPr="00723EBD">
        <w:rPr>
          <w:rFonts w:cstheme="minorHAnsi"/>
        </w:rPr>
        <w:t xml:space="preserve"> persist for a long time</w:t>
      </w:r>
      <w:r w:rsidR="001F71F0">
        <w:rPr>
          <w:rFonts w:cstheme="minorHAnsi"/>
        </w:rPr>
        <w:t xml:space="preserve"> in humans and in the environment</w:t>
      </w:r>
      <w:r w:rsidRPr="00723EBD">
        <w:rPr>
          <w:rFonts w:cstheme="minorHAnsi"/>
        </w:rPr>
        <w:t>. Their widespread use and persistence mean that many types of PFAS are global contaminants.</w:t>
      </w:r>
    </w:p>
    <w:p w14:paraId="75844346" w14:textId="313815D4" w:rsidR="0002692C" w:rsidRPr="00723EBD" w:rsidRDefault="0002692C" w:rsidP="0002692C">
      <w:pPr>
        <w:rPr>
          <w:rFonts w:cstheme="minorHAnsi"/>
        </w:rPr>
      </w:pPr>
      <w:r w:rsidRPr="00723EBD">
        <w:rPr>
          <w:rFonts w:cstheme="minorHAnsi"/>
        </w:rPr>
        <w:t>Recognising the difficulty in assessing and communicating the risks posed by PFAS to the community, the Environmental Health Standing Committee (enHealth) and the Australian Health Protection Principal Committee (AHPPC) have developed guidance statements on key health issues to support jurisdictional responses to incidents of environmental PFAS contamination.</w:t>
      </w:r>
    </w:p>
    <w:p w14:paraId="08470F7D" w14:textId="77777777" w:rsidR="00D82C84" w:rsidRPr="00723EBD" w:rsidRDefault="0002692C" w:rsidP="0002692C">
      <w:pPr>
        <w:pStyle w:val="NormalWeb"/>
        <w:shd w:val="clear" w:color="auto" w:fill="FFFFFF"/>
        <w:spacing w:before="0" w:beforeAutospacing="0" w:after="240" w:afterAutospacing="0" w:line="300" w:lineRule="atLeast"/>
        <w:rPr>
          <w:rFonts w:asciiTheme="minorHAnsi" w:eastAsiaTheme="minorHAnsi" w:hAnsiTheme="minorHAnsi" w:cstheme="minorHAnsi"/>
          <w:sz w:val="22"/>
          <w:szCs w:val="22"/>
          <w:lang w:eastAsia="en-US"/>
        </w:rPr>
      </w:pPr>
      <w:r w:rsidRPr="00723EBD">
        <w:rPr>
          <w:rFonts w:asciiTheme="minorHAnsi" w:eastAsiaTheme="minorHAnsi" w:hAnsiTheme="minorHAnsi" w:cstheme="minorHAnsi"/>
          <w:sz w:val="22"/>
          <w:szCs w:val="22"/>
          <w:lang w:eastAsia="en-US"/>
        </w:rPr>
        <w:t>This has included</w:t>
      </w:r>
      <w:r w:rsidR="00D82C84" w:rsidRPr="00723EBD">
        <w:rPr>
          <w:rFonts w:asciiTheme="minorHAnsi" w:eastAsiaTheme="minorHAnsi" w:hAnsiTheme="minorHAnsi" w:cstheme="minorHAnsi"/>
          <w:sz w:val="22"/>
          <w:szCs w:val="22"/>
          <w:lang w:eastAsia="en-US"/>
        </w:rPr>
        <w:t>:</w:t>
      </w:r>
    </w:p>
    <w:p w14:paraId="57DFA63A" w14:textId="77777777" w:rsidR="00D82C84" w:rsidRPr="00723EBD" w:rsidRDefault="00D82C84" w:rsidP="00D82C84">
      <w:pPr>
        <w:numPr>
          <w:ilvl w:val="0"/>
          <w:numId w:val="19"/>
        </w:numPr>
        <w:shd w:val="clear" w:color="auto" w:fill="FFFFFF"/>
        <w:spacing w:before="100" w:beforeAutospacing="1" w:after="100" w:afterAutospacing="1" w:line="240" w:lineRule="auto"/>
        <w:rPr>
          <w:rFonts w:eastAsia="Times New Roman" w:cstheme="minorHAnsi"/>
          <w:color w:val="000000"/>
          <w:lang w:eastAsia="en-AU"/>
        </w:rPr>
      </w:pPr>
      <w:r w:rsidRPr="00723EBD">
        <w:rPr>
          <w:rFonts w:eastAsia="Times New Roman" w:cstheme="minorHAnsi"/>
          <w:i/>
          <w:iCs/>
          <w:color w:val="000000"/>
          <w:lang w:eastAsia="en-AU"/>
        </w:rPr>
        <w:t>Australian Health Protection Principal Committee (AHPPC) Per- and Poly-fluoroalkyl Substances Factsheet</w:t>
      </w:r>
      <w:r w:rsidRPr="00723EBD">
        <w:rPr>
          <w:rFonts w:eastAsia="Times New Roman" w:cstheme="minorHAnsi"/>
          <w:color w:val="000000"/>
          <w:lang w:eastAsia="en-AU"/>
        </w:rPr>
        <w:t> (2016)</w:t>
      </w:r>
    </w:p>
    <w:p w14:paraId="39F8D8D6" w14:textId="77777777" w:rsidR="00D82C84" w:rsidRPr="00723EBD" w:rsidRDefault="00D82C84" w:rsidP="00D82C84">
      <w:pPr>
        <w:numPr>
          <w:ilvl w:val="0"/>
          <w:numId w:val="19"/>
        </w:numPr>
        <w:shd w:val="clear" w:color="auto" w:fill="FFFFFF"/>
        <w:spacing w:before="100" w:beforeAutospacing="1" w:after="100" w:afterAutospacing="1" w:line="240" w:lineRule="auto"/>
        <w:rPr>
          <w:rFonts w:eastAsia="Times New Roman" w:cstheme="minorHAnsi"/>
          <w:color w:val="000000"/>
          <w:lang w:eastAsia="en-AU"/>
        </w:rPr>
      </w:pPr>
      <w:r w:rsidRPr="00723EBD">
        <w:rPr>
          <w:rFonts w:eastAsia="Times New Roman" w:cstheme="minorHAnsi"/>
          <w:i/>
          <w:iCs/>
          <w:color w:val="000000"/>
          <w:lang w:eastAsia="en-AU"/>
        </w:rPr>
        <w:t>enHealth Guidance Statements on Per- and Poly- fluoroalkyl Substances</w:t>
      </w:r>
      <w:r w:rsidRPr="00723EBD">
        <w:rPr>
          <w:rFonts w:eastAsia="Times New Roman" w:cstheme="minorHAnsi"/>
          <w:color w:val="000000"/>
          <w:lang w:eastAsia="en-AU"/>
        </w:rPr>
        <w:t> (2016)</w:t>
      </w:r>
    </w:p>
    <w:p w14:paraId="1AA35473" w14:textId="77777777" w:rsidR="00D82C84" w:rsidRPr="00723EBD" w:rsidRDefault="00D82C84" w:rsidP="00D82C84">
      <w:pPr>
        <w:numPr>
          <w:ilvl w:val="0"/>
          <w:numId w:val="19"/>
        </w:numPr>
        <w:shd w:val="clear" w:color="auto" w:fill="FFFFFF"/>
        <w:spacing w:before="100" w:beforeAutospacing="1" w:after="100" w:afterAutospacing="1" w:line="240" w:lineRule="auto"/>
        <w:rPr>
          <w:rFonts w:eastAsia="Times New Roman" w:cstheme="minorHAnsi"/>
          <w:color w:val="000000"/>
          <w:lang w:eastAsia="en-AU"/>
        </w:rPr>
      </w:pPr>
      <w:r w:rsidRPr="00723EBD">
        <w:rPr>
          <w:rFonts w:eastAsia="Times New Roman" w:cstheme="minorHAnsi"/>
          <w:i/>
          <w:iCs/>
          <w:color w:val="000000"/>
          <w:lang w:eastAsia="en-AU"/>
        </w:rPr>
        <w:t>Interim National Guidance on Human Health Reference Values for Per- and Poly-fluoroalkyl Substances for use in Site Investigations in Australia</w:t>
      </w:r>
      <w:r w:rsidRPr="00723EBD">
        <w:rPr>
          <w:rFonts w:eastAsia="Times New Roman" w:cstheme="minorHAnsi"/>
          <w:color w:val="000000"/>
          <w:lang w:eastAsia="en-AU"/>
        </w:rPr>
        <w:t> (2017)</w:t>
      </w:r>
    </w:p>
    <w:p w14:paraId="06EB76EE" w14:textId="0BF3A8FC" w:rsidR="00D82C84" w:rsidRPr="00723EBD" w:rsidRDefault="00D82C84" w:rsidP="00D82C84">
      <w:pPr>
        <w:numPr>
          <w:ilvl w:val="0"/>
          <w:numId w:val="19"/>
        </w:numPr>
        <w:shd w:val="clear" w:color="auto" w:fill="FFFFFF"/>
        <w:spacing w:before="100" w:beforeAutospacing="1" w:after="100" w:afterAutospacing="1" w:line="240" w:lineRule="auto"/>
        <w:rPr>
          <w:rFonts w:eastAsia="Times New Roman" w:cstheme="minorHAnsi"/>
          <w:color w:val="000000"/>
          <w:lang w:eastAsia="en-AU"/>
        </w:rPr>
      </w:pPr>
      <w:r w:rsidRPr="00723EBD">
        <w:rPr>
          <w:rFonts w:eastAsia="Times New Roman" w:cstheme="minorHAnsi"/>
          <w:i/>
          <w:iCs/>
          <w:color w:val="000000"/>
          <w:lang w:eastAsia="en-AU"/>
        </w:rPr>
        <w:t>enHealth Guidance Statements on Per- and Poly- fluoroalkyl Substances</w:t>
      </w:r>
      <w:r w:rsidRPr="00723EBD">
        <w:rPr>
          <w:rFonts w:eastAsia="Times New Roman" w:cstheme="minorHAnsi"/>
          <w:color w:val="000000"/>
          <w:lang w:eastAsia="en-AU"/>
        </w:rPr>
        <w:t> (2019)</w:t>
      </w:r>
      <w:r w:rsidR="002D0DE8">
        <w:rPr>
          <w:rFonts w:eastAsia="Times New Roman" w:cstheme="minorHAnsi"/>
          <w:color w:val="000000"/>
          <w:lang w:eastAsia="en-AU"/>
        </w:rPr>
        <w:t>.</w:t>
      </w:r>
    </w:p>
    <w:p w14:paraId="3384956E" w14:textId="7C1C0790" w:rsidR="00C51950" w:rsidRPr="00723EBD" w:rsidRDefault="00C51950" w:rsidP="00C51950">
      <w:pPr>
        <w:rPr>
          <w:rFonts w:cstheme="minorHAnsi"/>
        </w:rPr>
      </w:pPr>
      <w:r w:rsidRPr="00723EBD">
        <w:rPr>
          <w:rFonts w:cstheme="minorHAnsi"/>
        </w:rPr>
        <w:t xml:space="preserve">The purpose of this document is to </w:t>
      </w:r>
      <w:r w:rsidR="0002692C" w:rsidRPr="00723EBD">
        <w:rPr>
          <w:rFonts w:cstheme="minorHAnsi"/>
        </w:rPr>
        <w:t>consolidate and update this</w:t>
      </w:r>
      <w:r w:rsidR="00694036" w:rsidRPr="00723EBD">
        <w:rPr>
          <w:rFonts w:cstheme="minorHAnsi"/>
        </w:rPr>
        <w:t xml:space="preserve"> PFAS health guidance </w:t>
      </w:r>
      <w:r w:rsidR="0002692C" w:rsidRPr="00723EBD">
        <w:rPr>
          <w:rFonts w:cstheme="minorHAnsi"/>
        </w:rPr>
        <w:t xml:space="preserve">particularly </w:t>
      </w:r>
      <w:proofErr w:type="gramStart"/>
      <w:r w:rsidR="0002692C" w:rsidRPr="00723EBD">
        <w:rPr>
          <w:rFonts w:cstheme="minorHAnsi"/>
        </w:rPr>
        <w:t>in light of</w:t>
      </w:r>
      <w:proofErr w:type="gramEnd"/>
      <w:r w:rsidR="0002692C" w:rsidRPr="00723EBD">
        <w:rPr>
          <w:rFonts w:cstheme="minorHAnsi"/>
        </w:rPr>
        <w:t xml:space="preserve"> </w:t>
      </w:r>
      <w:r w:rsidR="00D82C84" w:rsidRPr="00723EBD">
        <w:rPr>
          <w:rFonts w:cstheme="minorHAnsi"/>
        </w:rPr>
        <w:t xml:space="preserve">recently completed </w:t>
      </w:r>
      <w:r w:rsidR="00150948" w:rsidRPr="00723EBD">
        <w:rPr>
          <w:rFonts w:cstheme="minorHAnsi"/>
        </w:rPr>
        <w:t>research into the human health effects of PFAS</w:t>
      </w:r>
      <w:r w:rsidR="0002692C" w:rsidRPr="00723EBD">
        <w:rPr>
          <w:rFonts w:cstheme="minorHAnsi"/>
        </w:rPr>
        <w:t xml:space="preserve"> and exposure in</w:t>
      </w:r>
      <w:r w:rsidR="002D0DE8">
        <w:rPr>
          <w:rFonts w:cstheme="minorHAnsi"/>
        </w:rPr>
        <w:t xml:space="preserve"> </w:t>
      </w:r>
      <w:r w:rsidR="0002692C" w:rsidRPr="00723EBD">
        <w:rPr>
          <w:rFonts w:cstheme="minorHAnsi"/>
        </w:rPr>
        <w:t>Australia</w:t>
      </w:r>
      <w:r w:rsidR="0045721A" w:rsidRPr="00723EBD">
        <w:rPr>
          <w:rFonts w:cstheme="minorHAnsi"/>
        </w:rPr>
        <w:t>.</w:t>
      </w:r>
      <w:r w:rsidR="00D82C84" w:rsidRPr="00723EBD">
        <w:rPr>
          <w:rFonts w:cstheme="minorHAnsi"/>
        </w:rPr>
        <w:t xml:space="preserve"> </w:t>
      </w:r>
      <w:r w:rsidR="00C83131" w:rsidRPr="00723EBD">
        <w:rPr>
          <w:rFonts w:cstheme="minorHAnsi"/>
        </w:rPr>
        <w:t>Relevant studies</w:t>
      </w:r>
      <w:r w:rsidR="00D82C84" w:rsidRPr="00723EBD">
        <w:rPr>
          <w:rFonts w:cstheme="minorHAnsi"/>
        </w:rPr>
        <w:t xml:space="preserve"> include the </w:t>
      </w:r>
      <w:hyperlink r:id="rId10" w:history="1">
        <w:r w:rsidR="00D82C84" w:rsidRPr="00723EBD">
          <w:rPr>
            <w:rStyle w:val="Hyperlink"/>
            <w:rFonts w:cstheme="minorHAnsi"/>
          </w:rPr>
          <w:t>Australian National University (ANU) PFAS</w:t>
        </w:r>
        <w:r w:rsidR="00124172">
          <w:rPr>
            <w:rStyle w:val="Hyperlink"/>
            <w:rFonts w:cstheme="minorHAnsi"/>
          </w:rPr>
          <w:t xml:space="preserve"> </w:t>
        </w:r>
        <w:r w:rsidR="006845FE">
          <w:rPr>
            <w:rStyle w:val="Hyperlink"/>
            <w:rFonts w:cstheme="minorHAnsi"/>
          </w:rPr>
          <w:t xml:space="preserve">Health </w:t>
        </w:r>
        <w:r w:rsidR="00D82C84" w:rsidRPr="00723EBD">
          <w:rPr>
            <w:rStyle w:val="Hyperlink"/>
            <w:rFonts w:cstheme="minorHAnsi"/>
          </w:rPr>
          <w:t>Study</w:t>
        </w:r>
      </w:hyperlink>
      <w:r w:rsidR="00AF5706">
        <w:rPr>
          <w:rFonts w:cstheme="minorHAnsi"/>
        </w:rPr>
        <w:t xml:space="preserve"> </w:t>
      </w:r>
      <w:r w:rsidR="00D82C84" w:rsidRPr="00723EBD">
        <w:rPr>
          <w:rFonts w:cstheme="minorHAnsi"/>
        </w:rPr>
        <w:t xml:space="preserve">and the </w:t>
      </w:r>
      <w:hyperlink r:id="rId11" w:history="1">
        <w:r w:rsidR="00D82C84" w:rsidRPr="00723EBD">
          <w:rPr>
            <w:rStyle w:val="Hyperlink"/>
            <w:rFonts w:cstheme="minorHAnsi"/>
          </w:rPr>
          <w:t>27th Australian Total Diet Study</w:t>
        </w:r>
      </w:hyperlink>
      <w:r w:rsidR="00D82C84" w:rsidRPr="00723EBD">
        <w:rPr>
          <w:rFonts w:cstheme="minorHAnsi"/>
        </w:rPr>
        <w:t xml:space="preserve"> undertaken by Food Standards Australia New Zealand (FSANZ).</w:t>
      </w:r>
    </w:p>
    <w:p w14:paraId="0BF629F7" w14:textId="77777777" w:rsidR="0005517B" w:rsidRPr="00723EBD" w:rsidRDefault="0005517B" w:rsidP="0005517B">
      <w:pPr>
        <w:pStyle w:val="Heading2"/>
        <w:spacing w:after="160"/>
      </w:pPr>
      <w:bookmarkStart w:id="1" w:name="_Toc152164232"/>
      <w:r w:rsidRPr="009D5240">
        <w:t>Human exposure pathways</w:t>
      </w:r>
      <w:bookmarkEnd w:id="1"/>
    </w:p>
    <w:p w14:paraId="6554B139" w14:textId="24A2A952" w:rsidR="00E55FB3" w:rsidRPr="00723EBD" w:rsidRDefault="00C813FD" w:rsidP="00525582">
      <w:r w:rsidRPr="00723EBD">
        <w:t xml:space="preserve">Because of their widespread use, most people in Australia are expected to have some PFAS present in their body. </w:t>
      </w:r>
      <w:r w:rsidR="00BA56B1">
        <w:t>Although there are many types of PFAS that exist, t</w:t>
      </w:r>
      <w:r w:rsidRPr="00723EBD">
        <w:t xml:space="preserve">he most prevalent PFAS found in the Australian population to date have been </w:t>
      </w:r>
      <w:proofErr w:type="spellStart"/>
      <w:r w:rsidR="00856AF4" w:rsidRPr="00723EBD">
        <w:t>perfluorooctane</w:t>
      </w:r>
      <w:proofErr w:type="spellEnd"/>
      <w:r w:rsidR="00856AF4" w:rsidRPr="00723EBD">
        <w:t xml:space="preserve"> sulfonate (PFOS)</w:t>
      </w:r>
      <w:r w:rsidRPr="00723EBD">
        <w:t xml:space="preserve">, </w:t>
      </w:r>
      <w:r w:rsidR="00856AF4" w:rsidRPr="00723EBD">
        <w:t>perfluorooctanoic acid (PFOA)</w:t>
      </w:r>
      <w:r w:rsidRPr="00723EBD">
        <w:t xml:space="preserve"> and </w:t>
      </w:r>
      <w:proofErr w:type="spellStart"/>
      <w:r w:rsidR="001F71F0">
        <w:t>p</w:t>
      </w:r>
      <w:r w:rsidR="001F71F0" w:rsidRPr="00723EBD">
        <w:t>erfluorohexane</w:t>
      </w:r>
      <w:proofErr w:type="spellEnd"/>
      <w:r w:rsidR="001F71F0" w:rsidRPr="00723EBD">
        <w:t xml:space="preserve"> </w:t>
      </w:r>
      <w:r w:rsidR="00856AF4" w:rsidRPr="00723EBD">
        <w:t>sulfonate (</w:t>
      </w:r>
      <w:proofErr w:type="spellStart"/>
      <w:r w:rsidR="00856AF4" w:rsidRPr="00723EBD">
        <w:t>PFHxS</w:t>
      </w:r>
      <w:proofErr w:type="spellEnd"/>
      <w:r w:rsidR="00856AF4" w:rsidRPr="00723EBD">
        <w:t>)</w:t>
      </w:r>
      <w:r w:rsidRPr="00723EBD">
        <w:t xml:space="preserve">. </w:t>
      </w:r>
      <w:r w:rsidR="00525582" w:rsidRPr="00723EBD">
        <w:t xml:space="preserve">PFAS exposure </w:t>
      </w:r>
      <w:r w:rsidR="004B3CF1">
        <w:t xml:space="preserve">pathways to humans </w:t>
      </w:r>
      <w:r w:rsidR="00525582" w:rsidRPr="00723EBD">
        <w:t xml:space="preserve">can </w:t>
      </w:r>
      <w:r w:rsidR="004B3CF1">
        <w:t>include</w:t>
      </w:r>
      <w:r w:rsidR="004B3CF1" w:rsidRPr="00723EBD">
        <w:t xml:space="preserve"> </w:t>
      </w:r>
      <w:r w:rsidR="00525582" w:rsidRPr="00723EBD">
        <w:t xml:space="preserve">food, </w:t>
      </w:r>
      <w:r w:rsidR="00404054" w:rsidRPr="00723EBD">
        <w:t>water,</w:t>
      </w:r>
      <w:r w:rsidR="00AF5706">
        <w:t xml:space="preserve"> </w:t>
      </w:r>
      <w:r w:rsidR="00AF5706" w:rsidRPr="00723EBD">
        <w:t>air,</w:t>
      </w:r>
      <w:r w:rsidR="00AF5706">
        <w:t xml:space="preserve"> </w:t>
      </w:r>
      <w:r w:rsidR="00A32EE3">
        <w:t>dermal (skin)</w:t>
      </w:r>
      <w:r w:rsidR="004B3CF1">
        <w:t xml:space="preserve"> contact </w:t>
      </w:r>
      <w:r w:rsidR="00525582" w:rsidRPr="00723EBD">
        <w:t xml:space="preserve">and various consumer products. </w:t>
      </w:r>
      <w:r w:rsidR="00175317" w:rsidRPr="00723EBD">
        <w:t>However, for most people ingestion of food and drinking water contaminated with PFAS is expected to be the primary source of exposure</w:t>
      </w:r>
      <w:r w:rsidR="003F6791">
        <w:t>.</w:t>
      </w:r>
      <w:r w:rsidR="003F6791" w:rsidRPr="003F6791">
        <w:t xml:space="preserve"> </w:t>
      </w:r>
      <w:r w:rsidR="003F6791">
        <w:t xml:space="preserve">PFAS are known to travel long distances via surface and groundwater and can accumulate in foods. These chemicals are also readily absorbed through the gut. </w:t>
      </w:r>
      <w:r w:rsidR="00525582" w:rsidRPr="00723EBD">
        <w:t>Inhalation of dust contaminated with PFAS and dermal (skin) contact with PFAS</w:t>
      </w:r>
      <w:r w:rsidR="00957DFA">
        <w:t>,</w:t>
      </w:r>
      <w:r w:rsidR="00525582" w:rsidRPr="00723EBD">
        <w:t xml:space="preserve"> </w:t>
      </w:r>
      <w:r w:rsidR="006A3B67">
        <w:t xml:space="preserve">including </w:t>
      </w:r>
      <w:r w:rsidR="00E55FB3">
        <w:t>from showering and bathing in contaminated recreation</w:t>
      </w:r>
      <w:r w:rsidR="00EF5DFE">
        <w:t>al</w:t>
      </w:r>
      <w:r w:rsidR="00E55FB3">
        <w:t xml:space="preserve"> water</w:t>
      </w:r>
      <w:r w:rsidR="00957DFA">
        <w:t>,</w:t>
      </w:r>
      <w:r w:rsidR="00E55FB3">
        <w:t xml:space="preserve"> </w:t>
      </w:r>
      <w:r w:rsidR="00404054" w:rsidRPr="00723EBD">
        <w:t>are</w:t>
      </w:r>
      <w:r w:rsidR="00525582" w:rsidRPr="00723EBD">
        <w:t xml:space="preserve"> minor exposure pathways.</w:t>
      </w:r>
    </w:p>
    <w:p w14:paraId="1F655100" w14:textId="77777777" w:rsidR="004C6128" w:rsidRPr="00723EBD" w:rsidRDefault="004C6128" w:rsidP="00175317">
      <w:r w:rsidRPr="00723EBD">
        <w:t>Once these chemicals are in a person’s body it takes a long time for those levels to substantially reduce, even if no more is taken in. Depending on the type of PFAS, studies indicate that the time taken for the levels to reduce by half can be from 2 to 8 years.</w:t>
      </w:r>
    </w:p>
    <w:p w14:paraId="5876D01E" w14:textId="7674491D" w:rsidR="0074358C" w:rsidRPr="00FF732B" w:rsidRDefault="00175317" w:rsidP="00D27A70">
      <w:pPr>
        <w:autoSpaceDE w:val="0"/>
        <w:autoSpaceDN w:val="0"/>
        <w:adjustRightInd w:val="0"/>
      </w:pPr>
      <w:r w:rsidRPr="00723EBD">
        <w:t xml:space="preserve">For most people the level of exposure is likely to be relatively small and no public health and safety concerns in relation to PFAS </w:t>
      </w:r>
      <w:r w:rsidR="00186166">
        <w:t xml:space="preserve">have been identified </w:t>
      </w:r>
      <w:r w:rsidRPr="00723EBD">
        <w:t xml:space="preserve">from the overall dietary exposure for the general Australian population. </w:t>
      </w:r>
      <w:r w:rsidR="00582AE6">
        <w:t xml:space="preserve">In locations where PFAS have been used as an active ingredient in AFFF firefighting foams, there may be higher PFAS levels in the </w:t>
      </w:r>
      <w:r w:rsidR="003F6791">
        <w:t xml:space="preserve">local </w:t>
      </w:r>
      <w:r w:rsidR="00582AE6">
        <w:t xml:space="preserve">environment. </w:t>
      </w:r>
      <w:r w:rsidR="0074358C" w:rsidRPr="00723EBD">
        <w:t xml:space="preserve">In these </w:t>
      </w:r>
      <w:r w:rsidR="00165AC0" w:rsidRPr="00723EBD">
        <w:t>communities</w:t>
      </w:r>
      <w:r w:rsidR="00165AC0">
        <w:t>,</w:t>
      </w:r>
      <w:r w:rsidR="0074358C" w:rsidRPr="00723EBD">
        <w:t xml:space="preserve"> people </w:t>
      </w:r>
      <w:r w:rsidR="003F6791">
        <w:t xml:space="preserve">may </w:t>
      </w:r>
      <w:r w:rsidR="0074358C" w:rsidRPr="00723EBD">
        <w:t xml:space="preserve">have </w:t>
      </w:r>
      <w:r w:rsidR="00914E8D">
        <w:t>increased</w:t>
      </w:r>
      <w:r w:rsidR="0074358C" w:rsidRPr="00723EBD">
        <w:t xml:space="preserve"> exposure to</w:t>
      </w:r>
      <w:r w:rsidR="005A1E25">
        <w:t xml:space="preserve"> certain PFAS, including </w:t>
      </w:r>
      <w:r w:rsidR="00BB49B1" w:rsidRPr="00723EBD">
        <w:t xml:space="preserve">PFOS and </w:t>
      </w:r>
      <w:proofErr w:type="spellStart"/>
      <w:r w:rsidR="00BB49B1" w:rsidRPr="00723EBD">
        <w:t>PFHxS</w:t>
      </w:r>
      <w:proofErr w:type="spellEnd"/>
      <w:r w:rsidR="005A1E25">
        <w:t>,</w:t>
      </w:r>
      <w:r w:rsidR="00BB49B1" w:rsidRPr="00723EBD">
        <w:t xml:space="preserve"> </w:t>
      </w:r>
      <w:r w:rsidR="0074358C" w:rsidRPr="00723EBD">
        <w:t>and have elevated blood concentrations</w:t>
      </w:r>
      <w:r w:rsidR="00BB49B1" w:rsidRPr="00723EBD">
        <w:t xml:space="preserve"> </w:t>
      </w:r>
      <w:r w:rsidR="00914E8D">
        <w:t xml:space="preserve">above the general population </w:t>
      </w:r>
      <w:r w:rsidR="00BB49B1" w:rsidRPr="00723EBD">
        <w:t>of these PFAS</w:t>
      </w:r>
      <w:r w:rsidR="0071702A">
        <w:t xml:space="preserve">. </w:t>
      </w:r>
      <w:bookmarkStart w:id="2" w:name="_Hlk128735163"/>
      <w:r w:rsidR="0071702A" w:rsidRPr="00D27A70">
        <w:t>Potential key exposure pathways of PFAS in these communities may include regular consumption of contaminated groundwater from drinking water bores, certain locally grown food</w:t>
      </w:r>
      <w:r w:rsidR="002D0DE8">
        <w:t>,</w:t>
      </w:r>
      <w:r w:rsidR="0071702A" w:rsidRPr="00D27A70">
        <w:t xml:space="preserve"> or seafood sourced from PFAS impacted waterways.</w:t>
      </w:r>
      <w:bookmarkEnd w:id="2"/>
      <w:r w:rsidR="0071702A" w:rsidRPr="00D27A70">
        <w:t xml:space="preserve"> However</w:t>
      </w:r>
      <w:r w:rsidR="00416BD3">
        <w:t>,</w:t>
      </w:r>
      <w:r w:rsidR="0071702A" w:rsidRPr="00D27A70">
        <w:t xml:space="preserve"> exposure pathways </w:t>
      </w:r>
      <w:r w:rsidR="00416BD3">
        <w:t xml:space="preserve">can differ between sites </w:t>
      </w:r>
      <w:r w:rsidR="00416BD3" w:rsidRPr="00D27A70">
        <w:t xml:space="preserve">and </w:t>
      </w:r>
      <w:proofErr w:type="gramStart"/>
      <w:r w:rsidR="0071702A" w:rsidRPr="00723EBD">
        <w:t>state</w:t>
      </w:r>
      <w:proofErr w:type="gramEnd"/>
      <w:r w:rsidR="0071702A" w:rsidRPr="00723EBD">
        <w:t xml:space="preserve"> or territory health department</w:t>
      </w:r>
      <w:r w:rsidR="002D0DE8">
        <w:t>s</w:t>
      </w:r>
      <w:r w:rsidR="0071702A" w:rsidRPr="00723EBD">
        <w:t xml:space="preserve"> can provide local advice on how to minimise exposure to PFAS.</w:t>
      </w:r>
    </w:p>
    <w:p w14:paraId="20A87032" w14:textId="77777777" w:rsidR="00322170" w:rsidRPr="00723EBD" w:rsidRDefault="00322170" w:rsidP="00322170">
      <w:pPr>
        <w:pStyle w:val="Heading2"/>
        <w:spacing w:after="160"/>
      </w:pPr>
      <w:bookmarkStart w:id="3" w:name="_Toc152164233"/>
      <w:r w:rsidRPr="00723EBD">
        <w:t>PFAS and the general food supply</w:t>
      </w:r>
      <w:bookmarkEnd w:id="3"/>
    </w:p>
    <w:p w14:paraId="78E4F39F" w14:textId="59D795D8" w:rsidR="00322170" w:rsidRPr="00723EBD" w:rsidRDefault="00322170" w:rsidP="00322170">
      <w:r w:rsidRPr="00723EBD">
        <w:t xml:space="preserve">Current evidence suggests PFAS levels in the general Australian food supply are very low and </w:t>
      </w:r>
      <w:r w:rsidR="002D0DE8">
        <w:t xml:space="preserve">the </w:t>
      </w:r>
      <w:r w:rsidRPr="00723EBD">
        <w:t>regulation of PFAS chemical contaminants in the general food supply is therefore not required.</w:t>
      </w:r>
    </w:p>
    <w:p w14:paraId="02630337" w14:textId="03C2E6DE" w:rsidR="00322170" w:rsidRPr="00723EBD" w:rsidRDefault="002D0DE8" w:rsidP="00322170">
      <w:r>
        <w:t>However, t</w:t>
      </w:r>
      <w:r w:rsidR="00322170" w:rsidRPr="00723EBD">
        <w:t>he Australian Government Department of Health</w:t>
      </w:r>
      <w:r w:rsidR="00322170">
        <w:t xml:space="preserve"> and Aged Care</w:t>
      </w:r>
      <w:r w:rsidR="00322170" w:rsidRPr="00723EBD">
        <w:t xml:space="preserve"> has</w:t>
      </w:r>
      <w:r>
        <w:t xml:space="preserve"> </w:t>
      </w:r>
      <w:r w:rsidR="00322170" w:rsidRPr="00723EBD">
        <w:t xml:space="preserve">developed </w:t>
      </w:r>
      <w:hyperlink r:id="rId12" w:history="1">
        <w:r w:rsidR="00322170" w:rsidRPr="003711BA">
          <w:rPr>
            <w:rStyle w:val="Hyperlink"/>
          </w:rPr>
          <w:t>health-based guidance values</w:t>
        </w:r>
      </w:hyperlink>
      <w:r w:rsidR="00322170" w:rsidRPr="00723EBD">
        <w:t xml:space="preserve"> in the form of a tolerable daily intake (TDI) </w:t>
      </w:r>
      <w:r w:rsidR="00322170">
        <w:t>for PFOS, PFOA</w:t>
      </w:r>
      <w:r>
        <w:t>,</w:t>
      </w:r>
      <w:r w:rsidR="00322170">
        <w:t xml:space="preserve"> and </w:t>
      </w:r>
      <w:proofErr w:type="spellStart"/>
      <w:r w:rsidR="00322170">
        <w:t>PFHxS</w:t>
      </w:r>
      <w:proofErr w:type="spellEnd"/>
      <w:r w:rsidR="00322170">
        <w:t xml:space="preserve"> </w:t>
      </w:r>
      <w:r w:rsidR="00322170" w:rsidRPr="00723EBD">
        <w:t xml:space="preserve">for use in </w:t>
      </w:r>
      <w:r w:rsidR="00322170">
        <w:t>human health risk assessments</w:t>
      </w:r>
      <w:r>
        <w:t>,</w:t>
      </w:r>
      <w:r w:rsidR="00322170">
        <w:t xml:space="preserve"> including </w:t>
      </w:r>
      <w:r w:rsidR="00322170" w:rsidRPr="00723EBD">
        <w:t xml:space="preserve">site investigations across Australia. A TDI is an estimate of the amount of a chemical, expressed on a body weight basis that can be ingested daily over a lifetime without appreciable health risk to the consumer. </w:t>
      </w:r>
      <w:r w:rsidR="00322170">
        <w:t>The TDI can then be used to work out safe guidance values of the chemicals in different types of items that people consume, such as food or drinking water.</w:t>
      </w:r>
    </w:p>
    <w:p w14:paraId="2B7F108D" w14:textId="77777777" w:rsidR="00322170" w:rsidRPr="00723EBD" w:rsidRDefault="00322170" w:rsidP="00322170">
      <w:r w:rsidRPr="00723EBD">
        <w:t xml:space="preserve">FSANZ’s 27th Australian Total Diet Study, </w:t>
      </w:r>
      <w:r>
        <w:t xml:space="preserve">found </w:t>
      </w:r>
      <w:r w:rsidRPr="00723EBD">
        <w:t xml:space="preserve">PFAS levels in the general food supply </w:t>
      </w:r>
      <w:r>
        <w:t xml:space="preserve">are </w:t>
      </w:r>
      <w:r w:rsidRPr="00723EBD">
        <w:t>well below Australian guidance values. Estimated dietary exposure to PFOS for the general Australian population is well below the TDI. No other PFAS were detected in the study. This indicates that there are no public health and safety concerns in relation to PFAS from overall dietary exposure for the general Australian population.</w:t>
      </w:r>
    </w:p>
    <w:p w14:paraId="44AAB436" w14:textId="77777777" w:rsidR="00322170" w:rsidRPr="00723EBD" w:rsidRDefault="00322170" w:rsidP="00322170">
      <w:r w:rsidRPr="00723EBD">
        <w:t>In some instances, advice is issued by local authorities in specific areas where PFAS contamination has been identified</w:t>
      </w:r>
      <w:r>
        <w:t>,</w:t>
      </w:r>
      <w:r w:rsidRPr="00723EBD">
        <w:t xml:space="preserve"> as people within these areas may frequently consume food</w:t>
      </w:r>
      <w:r>
        <w:t xml:space="preserve"> or water</w:t>
      </w:r>
      <w:r w:rsidRPr="00723EBD">
        <w:t xml:space="preserve"> with some PFAS contamination. This local advice takes into consideration the Australian guidance values and specific local circumstances and may include encouraging people to consume produce from multiple sources, and in some cases</w:t>
      </w:r>
      <w:r>
        <w:t>,</w:t>
      </w:r>
      <w:r w:rsidRPr="00723EBD">
        <w:t xml:space="preserve"> limiting consumption of home-grown produce, </w:t>
      </w:r>
      <w:r>
        <w:t xml:space="preserve">home-produced livestock, and locally harvested food such as fish, and PFAS contaminated water </w:t>
      </w:r>
      <w:r w:rsidRPr="00723EBD">
        <w:t>to reduce exposure.</w:t>
      </w:r>
    </w:p>
    <w:p w14:paraId="63D054EE" w14:textId="77777777" w:rsidR="00322170" w:rsidRPr="00723EBD" w:rsidRDefault="00322170" w:rsidP="00322170">
      <w:r>
        <w:t xml:space="preserve">In relation to </w:t>
      </w:r>
      <w:r w:rsidRPr="00723EBD">
        <w:t>the general population</w:t>
      </w:r>
      <w:r>
        <w:t>,</w:t>
      </w:r>
      <w:r w:rsidRPr="00723EBD">
        <w:t xml:space="preserve"> it is considered extremely unlikely that specific foods consumed over a period would all be sourced from a contaminated site. Occasionally eating produce with low levels of PFAS is not considered to be a public health concern.</w:t>
      </w:r>
    </w:p>
    <w:p w14:paraId="4A571C15" w14:textId="77777777" w:rsidR="00322170" w:rsidRDefault="00322170" w:rsidP="00322170">
      <w:pPr>
        <w:pStyle w:val="Heading2"/>
        <w:spacing w:after="160"/>
      </w:pPr>
      <w:bookmarkStart w:id="4" w:name="_Toc152164234"/>
      <w:r>
        <w:t xml:space="preserve">PFAS and drinking water </w:t>
      </w:r>
      <w:proofErr w:type="gramStart"/>
      <w:r>
        <w:t>supplies</w:t>
      </w:r>
      <w:bookmarkEnd w:id="4"/>
      <w:proofErr w:type="gramEnd"/>
    </w:p>
    <w:p w14:paraId="0ADD2182" w14:textId="3340C591" w:rsidR="00322170" w:rsidRDefault="00322170" w:rsidP="00322170">
      <w:r>
        <w:t xml:space="preserve">To ensure safe drinking water and provide a basis for determining the quality of water to be supplied to consumers in all parts of Australia, the National Health and Medical Research Council (NHMRC) has developed the </w:t>
      </w:r>
      <w:hyperlink r:id="rId13" w:anchor="block-views-block-file-attachments-content-block-1" w:history="1">
        <w:r w:rsidRPr="007E1553">
          <w:rPr>
            <w:rStyle w:val="Hyperlink"/>
            <w:i/>
            <w:iCs/>
          </w:rPr>
          <w:t>Australian Drinking Water Guidelines (2011)</w:t>
        </w:r>
      </w:hyperlink>
      <w:r>
        <w:t xml:space="preserve"> (the Guidelines). The Guidelines are underpinned by the available scientific evidence and are used by state and territory health departments, drinking water regulators, local health authorities and water utilities.</w:t>
      </w:r>
    </w:p>
    <w:p w14:paraId="605B1D77" w14:textId="77777777" w:rsidR="00322170" w:rsidRDefault="00322170" w:rsidP="00322170">
      <w:r>
        <w:t xml:space="preserve">The Guidelines include maximum health-based guidance values for PFOA and PFOS plus </w:t>
      </w:r>
      <w:proofErr w:type="spellStart"/>
      <w:r>
        <w:t>PFHxS</w:t>
      </w:r>
      <w:proofErr w:type="spellEnd"/>
      <w:r>
        <w:t xml:space="preserve"> in drinking water. These were published in 2018 and were derived using the TDI values recommended by the Australian Government Department of Health and Aged Care.</w:t>
      </w:r>
    </w:p>
    <w:p w14:paraId="228642A3" w14:textId="77777777" w:rsidR="00322170" w:rsidRDefault="00322170" w:rsidP="00322170">
      <w:pPr>
        <w:spacing w:after="0" w:line="240" w:lineRule="auto"/>
        <w:rPr>
          <w:rFonts w:ascii="Times New Roman" w:hAnsi="Times New Roman" w:cs="Times New Roman"/>
          <w:sz w:val="24"/>
          <w:szCs w:val="24"/>
          <w:lang w:eastAsia="en-AU"/>
        </w:rPr>
      </w:pPr>
      <w:r>
        <w:rPr>
          <w:rFonts w:cstheme="minorHAnsi"/>
        </w:rPr>
        <w:t xml:space="preserve">enHealth notes that the science and our understanding of PFAS impacts on human health will continue to evolve. </w:t>
      </w:r>
      <w:r>
        <w:t>The Guidelines undergo rolling revisions to ensure they represent the latest scientific evidence on safe drinking water.</w:t>
      </w:r>
      <w:r>
        <w:rPr>
          <w:rFonts w:cstheme="minorHAnsi"/>
        </w:rPr>
        <w:t xml:space="preserve"> enHealth continues to work with the Australian Government Department of Health and Aged Care and NHMRC to consider the latest evidence and ensure advice is consistent, feasible and appropriate for the Australian context.</w:t>
      </w:r>
    </w:p>
    <w:p w14:paraId="13B729FB" w14:textId="77777777" w:rsidR="00322170" w:rsidRPr="00F963A4" w:rsidRDefault="00322170" w:rsidP="00322170">
      <w:pPr>
        <w:spacing w:after="0" w:line="240" w:lineRule="auto"/>
        <w:rPr>
          <w:rFonts w:ascii="Times New Roman" w:hAnsi="Times New Roman" w:cs="Times New Roman"/>
          <w:sz w:val="24"/>
          <w:szCs w:val="24"/>
          <w:lang w:eastAsia="en-AU"/>
        </w:rPr>
      </w:pPr>
    </w:p>
    <w:p w14:paraId="74D22F96" w14:textId="77777777" w:rsidR="00322170" w:rsidRPr="00AC331A" w:rsidRDefault="00322170" w:rsidP="00322170">
      <w:pPr>
        <w:pStyle w:val="CommentText"/>
        <w:rPr>
          <w:sz w:val="22"/>
          <w:szCs w:val="22"/>
        </w:rPr>
      </w:pPr>
      <w:r w:rsidRPr="00AC331A">
        <w:rPr>
          <w:sz w:val="22"/>
          <w:szCs w:val="22"/>
        </w:rPr>
        <w:t>The Chemical Fact Sheet: Per-fluoroalkyl and poly-fluoroalkyl substances (PFAS), in th</w:t>
      </w:r>
      <w:r>
        <w:rPr>
          <w:sz w:val="22"/>
          <w:szCs w:val="22"/>
        </w:rPr>
        <w:t>e Guidelines</w:t>
      </w:r>
      <w:r w:rsidRPr="00AC331A">
        <w:rPr>
          <w:sz w:val="22"/>
          <w:szCs w:val="22"/>
        </w:rPr>
        <w:t>, provides more information on PFAS concerns in drinking water</w:t>
      </w:r>
      <w:r>
        <w:rPr>
          <w:sz w:val="22"/>
          <w:szCs w:val="22"/>
        </w:rPr>
        <w:t xml:space="preserve">. The Guidelines can be accessed online from </w:t>
      </w:r>
      <w:r w:rsidRPr="00AC331A">
        <w:rPr>
          <w:sz w:val="22"/>
          <w:szCs w:val="22"/>
        </w:rPr>
        <w:t>www.nhmrc.gov.au/about-us/publications/australian-drinking-water-guidelines</w:t>
      </w:r>
      <w:r>
        <w:rPr>
          <w:sz w:val="22"/>
          <w:szCs w:val="22"/>
        </w:rPr>
        <w:t>.</w:t>
      </w:r>
    </w:p>
    <w:p w14:paraId="2C0BD6AC" w14:textId="0F467F6A" w:rsidR="002C0E49" w:rsidRPr="00723EBD" w:rsidRDefault="004D1308" w:rsidP="002C0E49">
      <w:pPr>
        <w:pStyle w:val="Heading2"/>
        <w:spacing w:after="160"/>
      </w:pPr>
      <w:bookmarkStart w:id="5" w:name="_Toc152164235"/>
      <w:r w:rsidRPr="00723EBD">
        <w:t>What evidence is there of h</w:t>
      </w:r>
      <w:r w:rsidR="002C0E49" w:rsidRPr="00723EBD">
        <w:t>ealth effects from exposure to PFAS?</w:t>
      </w:r>
      <w:bookmarkEnd w:id="5"/>
    </w:p>
    <w:p w14:paraId="3A3E877B" w14:textId="3E7BCB5A" w:rsidR="002C0E49" w:rsidRPr="00723EBD" w:rsidRDefault="002C0E49" w:rsidP="00723EBD">
      <w:r w:rsidRPr="00723EBD">
        <w:t>PFAS exposure</w:t>
      </w:r>
      <w:r w:rsidR="00BC37BB" w:rsidRPr="00723EBD">
        <w:t xml:space="preserve"> </w:t>
      </w:r>
      <w:r w:rsidRPr="00723EBD">
        <w:t xml:space="preserve">has been associated with </w:t>
      </w:r>
      <w:r w:rsidR="00BC37BB" w:rsidRPr="00723EBD">
        <w:t xml:space="preserve">the </w:t>
      </w:r>
      <w:r w:rsidRPr="00723EBD">
        <w:t>follow</w:t>
      </w:r>
      <w:r w:rsidR="00BC37BB" w:rsidRPr="00723EBD">
        <w:t>ing effects</w:t>
      </w:r>
      <w:r w:rsidRPr="00723EBD">
        <w:t>:</w:t>
      </w:r>
    </w:p>
    <w:p w14:paraId="0BE04225" w14:textId="77777777" w:rsidR="002C0E49" w:rsidRPr="00723EBD" w:rsidRDefault="002C0E49" w:rsidP="002C0E49">
      <w:pPr>
        <w:pStyle w:val="ListParagraph"/>
        <w:numPr>
          <w:ilvl w:val="0"/>
          <w:numId w:val="2"/>
        </w:numPr>
      </w:pPr>
      <w:r w:rsidRPr="00723EBD">
        <w:t>increased levels of cholesterol in the blood</w:t>
      </w:r>
    </w:p>
    <w:p w14:paraId="35562B5B" w14:textId="77777777" w:rsidR="002C0E49" w:rsidRPr="00723EBD" w:rsidRDefault="002C0E49" w:rsidP="002C0E49">
      <w:pPr>
        <w:pStyle w:val="ListParagraph"/>
        <w:numPr>
          <w:ilvl w:val="0"/>
          <w:numId w:val="2"/>
        </w:numPr>
      </w:pPr>
      <w:r w:rsidRPr="00723EBD">
        <w:t>increased levels of uric acid in the blood</w:t>
      </w:r>
    </w:p>
    <w:p w14:paraId="45CA1873" w14:textId="77777777" w:rsidR="002C0E49" w:rsidRPr="00723EBD" w:rsidRDefault="002C0E49" w:rsidP="002C0E49">
      <w:pPr>
        <w:pStyle w:val="ListParagraph"/>
        <w:numPr>
          <w:ilvl w:val="0"/>
          <w:numId w:val="2"/>
        </w:numPr>
      </w:pPr>
      <w:r w:rsidRPr="00723EBD">
        <w:t>reduced kidney function</w:t>
      </w:r>
    </w:p>
    <w:p w14:paraId="7518DE2C" w14:textId="77777777" w:rsidR="002C0E49" w:rsidRPr="00723EBD" w:rsidRDefault="002C0E49" w:rsidP="002C0E49">
      <w:pPr>
        <w:pStyle w:val="ListParagraph"/>
        <w:numPr>
          <w:ilvl w:val="0"/>
          <w:numId w:val="2"/>
        </w:numPr>
      </w:pPr>
      <w:r w:rsidRPr="00723EBD">
        <w:t>alterations in some indicators of immune function</w:t>
      </w:r>
    </w:p>
    <w:p w14:paraId="56103B7D" w14:textId="77777777" w:rsidR="002C0E49" w:rsidRPr="00723EBD" w:rsidRDefault="002C0E49" w:rsidP="002C0E49">
      <w:pPr>
        <w:pStyle w:val="ListParagraph"/>
        <w:numPr>
          <w:ilvl w:val="0"/>
          <w:numId w:val="2"/>
        </w:numPr>
      </w:pPr>
      <w:r w:rsidRPr="00723EBD">
        <w:t>altered levels of thyroid hormones and sex hormones</w:t>
      </w:r>
    </w:p>
    <w:p w14:paraId="47C70DD7" w14:textId="77777777" w:rsidR="002C0E49" w:rsidRPr="00723EBD" w:rsidRDefault="002C0E49" w:rsidP="002C0E49">
      <w:pPr>
        <w:pStyle w:val="ListParagraph"/>
        <w:numPr>
          <w:ilvl w:val="0"/>
          <w:numId w:val="2"/>
        </w:numPr>
      </w:pPr>
      <w:r w:rsidRPr="00723EBD">
        <w:t xml:space="preserve">later age for starting menstruation (periods) in girls, and earlier </w:t>
      </w:r>
      <w:proofErr w:type="gramStart"/>
      <w:r w:rsidRPr="00723EBD">
        <w:t>menopause</w:t>
      </w:r>
      <w:proofErr w:type="gramEnd"/>
    </w:p>
    <w:p w14:paraId="3A6ACC5E" w14:textId="77777777" w:rsidR="002C0E49" w:rsidRPr="00723EBD" w:rsidRDefault="002C0E49" w:rsidP="002C0E49">
      <w:pPr>
        <w:pStyle w:val="ListParagraph"/>
        <w:numPr>
          <w:ilvl w:val="0"/>
          <w:numId w:val="2"/>
        </w:numPr>
      </w:pPr>
      <w:r w:rsidRPr="00723EBD">
        <w:t>lower birth weight in babies.</w:t>
      </w:r>
    </w:p>
    <w:p w14:paraId="5BCB61BD" w14:textId="65E52DBC" w:rsidR="00E271D5" w:rsidRDefault="00E271D5" w:rsidP="00AA30CE">
      <w:r>
        <w:t xml:space="preserve">However, these differences have generally been small and </w:t>
      </w:r>
      <w:r w:rsidR="002D0DE8">
        <w:t xml:space="preserve">are </w:t>
      </w:r>
      <w:r>
        <w:t>unlikely to be important to health outcomes.</w:t>
      </w:r>
    </w:p>
    <w:p w14:paraId="4CA5B167" w14:textId="3CD98CCD" w:rsidR="00AA30CE" w:rsidRPr="00723EBD" w:rsidRDefault="00887F04" w:rsidP="00AA30CE">
      <w:r w:rsidRPr="00723EBD">
        <w:t xml:space="preserve">Potential associations between PFAS exposure </w:t>
      </w:r>
      <w:r w:rsidR="00F963D4">
        <w:t xml:space="preserve">and </w:t>
      </w:r>
      <w:r w:rsidRPr="00723EBD">
        <w:t>increased risk of two uncommon cancers</w:t>
      </w:r>
      <w:r w:rsidR="00F963D4">
        <w:t>, namely</w:t>
      </w:r>
      <w:r w:rsidR="002D0DE8">
        <w:t xml:space="preserve"> </w:t>
      </w:r>
      <w:r w:rsidRPr="00723EBD">
        <w:t>testicular and kidney cancer</w:t>
      </w:r>
      <w:r w:rsidR="002D0DE8">
        <w:t>,</w:t>
      </w:r>
      <w:r w:rsidRPr="00723EBD">
        <w:t xml:space="preserve"> have also been reported. </w:t>
      </w:r>
      <w:r w:rsidR="006C40DC" w:rsidRPr="00723EBD">
        <w:t xml:space="preserve">enHealth notes that much of this evidence relates specifically to PFOA, </w:t>
      </w:r>
      <w:r w:rsidR="00F963D4">
        <w:t xml:space="preserve">and </w:t>
      </w:r>
      <w:r w:rsidR="006C40DC" w:rsidRPr="00723EBD">
        <w:t xml:space="preserve">not PFOS or </w:t>
      </w:r>
      <w:proofErr w:type="spellStart"/>
      <w:r w:rsidR="006C40DC" w:rsidRPr="00723EBD">
        <w:t>PFHxS</w:t>
      </w:r>
      <w:proofErr w:type="spellEnd"/>
      <w:r w:rsidR="006C40DC" w:rsidRPr="00723EBD">
        <w:t xml:space="preserve"> which are more common in Australia.</w:t>
      </w:r>
      <w:r w:rsidR="002B4DF1">
        <w:t xml:space="preserve"> However, studies on these cancers remain conflicting and associations have only been observed in high exposure groups</w:t>
      </w:r>
      <w:r w:rsidR="005820AD">
        <w:t xml:space="preserve"> </w:t>
      </w:r>
      <w:r w:rsidR="005820AD">
        <w:rPr>
          <w:rFonts w:ascii="CIDFont+F4" w:hAnsi="CIDFont+F4" w:cs="CIDFont+F4"/>
        </w:rPr>
        <w:t>such as workers in</w:t>
      </w:r>
      <w:r w:rsidR="001B017A">
        <w:rPr>
          <w:rFonts w:ascii="CIDFont+F4" w:hAnsi="CIDFont+F4" w:cs="CIDFont+F4"/>
        </w:rPr>
        <w:t xml:space="preserve"> international </w:t>
      </w:r>
      <w:r w:rsidR="005820AD">
        <w:rPr>
          <w:rFonts w:ascii="CIDFont+F4" w:hAnsi="CIDFont+F4" w:cs="CIDFont+F4"/>
        </w:rPr>
        <w:t>factories where PFOA is produced</w:t>
      </w:r>
      <w:r w:rsidR="002B4DF1">
        <w:t>.</w:t>
      </w:r>
    </w:p>
    <w:p w14:paraId="5C3CDB89" w14:textId="135EC201" w:rsidR="004D1308" w:rsidRDefault="002C0E49" w:rsidP="004D1308">
      <w:r w:rsidRPr="00723EBD">
        <w:t>An association means that there is</w:t>
      </w:r>
      <w:r w:rsidR="00644627">
        <w:t xml:space="preserve"> a</w:t>
      </w:r>
      <w:r w:rsidRPr="00723EBD">
        <w:t xml:space="preserve"> </w:t>
      </w:r>
      <w:r w:rsidR="00D55802">
        <w:t>r</w:t>
      </w:r>
      <w:r w:rsidR="002D0DE8">
        <w:t>elationshi</w:t>
      </w:r>
      <w:r w:rsidRPr="00723EBD">
        <w:t>p between PFAS exposure and the above health effects. This does not mean that the PFAS exposure caused the health effect.</w:t>
      </w:r>
      <w:r w:rsidR="004D1308" w:rsidRPr="00723EBD">
        <w:t xml:space="preserve"> </w:t>
      </w:r>
      <w:r w:rsidR="00B06752" w:rsidRPr="00CA532E">
        <w:t>A causative relationship between the above health effects and PFAS exposure has not been established</w:t>
      </w:r>
      <w:r w:rsidR="00B06752">
        <w:t xml:space="preserve"> to date</w:t>
      </w:r>
      <w:r w:rsidR="00B06752" w:rsidRPr="00CA532E">
        <w:t>.</w:t>
      </w:r>
    </w:p>
    <w:p w14:paraId="7B987E80" w14:textId="77777777" w:rsidR="00B25258" w:rsidRPr="00923875" w:rsidRDefault="00B25258" w:rsidP="00B25258">
      <w:pPr>
        <w:rPr>
          <w:rFonts w:cstheme="minorHAnsi"/>
        </w:rPr>
      </w:pPr>
      <w:r w:rsidRPr="00923875">
        <w:rPr>
          <w:rFonts w:cstheme="minorHAnsi"/>
        </w:rPr>
        <w:t>A further finding from recently conducted research in Australia is that people living in PFAS affected communities are more likely to experience psychological distress, irrespective of the PFAS level in their blood.</w:t>
      </w:r>
    </w:p>
    <w:p w14:paraId="2439DE60" w14:textId="77777777" w:rsidR="00B25258" w:rsidRPr="00723EBD" w:rsidRDefault="00B25258" w:rsidP="00B25258">
      <w:pPr>
        <w:rPr>
          <w:rFonts w:cstheme="minorHAnsi"/>
          <w:szCs w:val="24"/>
        </w:rPr>
      </w:pPr>
      <w:r>
        <w:rPr>
          <w:rFonts w:cstheme="minorHAnsi"/>
          <w:szCs w:val="24"/>
        </w:rPr>
        <w:t>Whilst</w:t>
      </w:r>
      <w:r w:rsidRPr="00723EBD">
        <w:rPr>
          <w:rFonts w:cstheme="minorHAnsi"/>
          <w:szCs w:val="24"/>
        </w:rPr>
        <w:t xml:space="preserve"> PFAS has not </w:t>
      </w:r>
      <w:r>
        <w:rPr>
          <w:rFonts w:cstheme="minorHAnsi"/>
          <w:szCs w:val="24"/>
        </w:rPr>
        <w:t xml:space="preserve">definitely </w:t>
      </w:r>
      <w:r w:rsidRPr="00723EBD">
        <w:rPr>
          <w:rFonts w:cstheme="minorHAnsi"/>
          <w:szCs w:val="24"/>
        </w:rPr>
        <w:t xml:space="preserve">been shown to </w:t>
      </w:r>
      <w:r>
        <w:rPr>
          <w:rFonts w:cstheme="minorHAnsi"/>
          <w:szCs w:val="24"/>
        </w:rPr>
        <w:t xml:space="preserve">be a </w:t>
      </w:r>
      <w:r w:rsidRPr="00723EBD">
        <w:rPr>
          <w:rFonts w:cstheme="minorHAnsi"/>
          <w:szCs w:val="24"/>
        </w:rPr>
        <w:t xml:space="preserve">cause </w:t>
      </w:r>
      <w:r>
        <w:rPr>
          <w:rFonts w:cstheme="minorHAnsi"/>
          <w:szCs w:val="24"/>
        </w:rPr>
        <w:t xml:space="preserve">of </w:t>
      </w:r>
      <w:r w:rsidRPr="00723EBD">
        <w:rPr>
          <w:rFonts w:cstheme="minorHAnsi"/>
          <w:szCs w:val="24"/>
        </w:rPr>
        <w:t xml:space="preserve">disease in humans, </w:t>
      </w:r>
      <w:r>
        <w:rPr>
          <w:rFonts w:cstheme="minorHAnsi"/>
          <w:szCs w:val="24"/>
        </w:rPr>
        <w:t xml:space="preserve">enHealth notes that the </w:t>
      </w:r>
      <w:r w:rsidRPr="00723EBD">
        <w:rPr>
          <w:rFonts w:cstheme="minorHAnsi"/>
          <w:szCs w:val="24"/>
        </w:rPr>
        <w:t>science and our understanding of these issues will continue to evolve.</w:t>
      </w:r>
    </w:p>
    <w:p w14:paraId="5B14D5AD" w14:textId="0EA6DCD8" w:rsidR="00B25258" w:rsidRPr="00723EBD" w:rsidRDefault="00B25258" w:rsidP="00B25258">
      <w:r w:rsidRPr="00723EBD">
        <w:t xml:space="preserve">As a precaution, enHealth therefore continues to recommend exposure to PFAS be minimised wherever possible. This precautionary advice considers the current scientific evidence, including the lack of causation data on human health effects and the ability of these chemicals to persist in humans and in the environment. Governments are taking action to address the sources of PFAS, consistent with the </w:t>
      </w:r>
      <w:hyperlink r:id="rId14" w:history="1">
        <w:r w:rsidRPr="00723EBD">
          <w:rPr>
            <w:rStyle w:val="Hyperlink"/>
          </w:rPr>
          <w:t>Australian Intergovernmental Agreement on a National Framework for Responding to PFAS Contamination</w:t>
        </w:r>
      </w:hyperlink>
      <w:r w:rsidR="002D0DE8">
        <w:rPr>
          <w:rStyle w:val="Hyperlink"/>
        </w:rPr>
        <w:t>,</w:t>
      </w:r>
      <w:r w:rsidRPr="00723EBD">
        <w:t xml:space="preserve"> which will reduce human exposure to these chemicals.</w:t>
      </w:r>
    </w:p>
    <w:p w14:paraId="49562EA8" w14:textId="77777777" w:rsidR="00B25258" w:rsidRPr="00723EBD" w:rsidRDefault="00B25258" w:rsidP="00B25258">
      <w:r w:rsidRPr="00723EBD">
        <w:t xml:space="preserve">If you live or work in a PFAS </w:t>
      </w:r>
      <w:r>
        <w:t>affected community</w:t>
      </w:r>
      <w:r w:rsidRPr="00723EBD">
        <w:t>, your state or territory health department can provide you with local advice on how to minimise exposure to PFAS.</w:t>
      </w:r>
    </w:p>
    <w:p w14:paraId="0A48B096" w14:textId="77777777" w:rsidR="00B25258" w:rsidRPr="00723EBD" w:rsidRDefault="00B25258" w:rsidP="00B25258">
      <w:pPr>
        <w:pStyle w:val="Heading2"/>
        <w:spacing w:after="160"/>
      </w:pPr>
      <w:bookmarkStart w:id="6" w:name="_Toc151631774"/>
      <w:bookmarkStart w:id="7" w:name="_Toc152164236"/>
      <w:r w:rsidRPr="00723EBD">
        <w:t>Mental health</w:t>
      </w:r>
      <w:r>
        <w:t xml:space="preserve"> and wellbeing</w:t>
      </w:r>
      <w:bookmarkEnd w:id="6"/>
      <w:bookmarkEnd w:id="7"/>
    </w:p>
    <w:p w14:paraId="21AB1DE5" w14:textId="77777777" w:rsidR="00B25258" w:rsidRDefault="00B25258" w:rsidP="00B25258">
      <w:r>
        <w:t xml:space="preserve">For some, knowing that their community is affected by PFAS may increase stress and worry. Findings from the </w:t>
      </w:r>
      <w:hyperlink r:id="rId15" w:history="1">
        <w:r w:rsidRPr="00A15A38">
          <w:rPr>
            <w:rStyle w:val="Hyperlink"/>
          </w:rPr>
          <w:t>PFAS Health study</w:t>
        </w:r>
      </w:hyperlink>
      <w:r>
        <w:t xml:space="preserve"> showed that </w:t>
      </w:r>
      <w:r w:rsidRPr="00723EBD">
        <w:t>people living in PFAS affected communities, irrespective of PFAS</w:t>
      </w:r>
      <w:r>
        <w:t xml:space="preserve"> blood</w:t>
      </w:r>
      <w:r w:rsidRPr="00723EBD">
        <w:t xml:space="preserve"> concentrations, are more likely </w:t>
      </w:r>
      <w:r>
        <w:t xml:space="preserve">than those who live in comparison areas </w:t>
      </w:r>
      <w:r w:rsidRPr="00723EBD">
        <w:t>to experience psychological distress.</w:t>
      </w:r>
    </w:p>
    <w:p w14:paraId="3CA6A4E5" w14:textId="72960C6B" w:rsidR="00B25258" w:rsidRDefault="00B25258" w:rsidP="00B25258">
      <w:pPr>
        <w:spacing w:after="120"/>
      </w:pPr>
      <w:r>
        <w:t xml:space="preserve">Levels of concern can vary between individuals and for some it can add to the mental health burdens they may already be carrying. PFAS contamination can have a range of consequences for those affected including impacts on property values, produce, income, </w:t>
      </w:r>
      <w:proofErr w:type="gramStart"/>
      <w:r>
        <w:t>reputation</w:t>
      </w:r>
      <w:proofErr w:type="gramEnd"/>
      <w:r>
        <w:t xml:space="preserve"> and risks to health. </w:t>
      </w:r>
      <w:r w:rsidR="00B6415B">
        <w:t>Addressing</w:t>
      </w:r>
      <w:r>
        <w:t xml:space="preserve"> concerns can therefore have a </w:t>
      </w:r>
      <w:r w:rsidR="006D2068">
        <w:t>positive</w:t>
      </w:r>
      <w:r>
        <w:t xml:space="preserve"> impact on wellbeing.</w:t>
      </w:r>
      <w:r w:rsidDel="00DE3C51">
        <w:t xml:space="preserve"> </w:t>
      </w:r>
      <w:r>
        <w:t xml:space="preserve">Assistance should be tailored to the circumstances and include the full range of mental health and wellbeing supports available. </w:t>
      </w:r>
    </w:p>
    <w:p w14:paraId="543E7843" w14:textId="4645CE1A" w:rsidR="00B25258" w:rsidRDefault="00B25258" w:rsidP="00B25258">
      <w:pPr>
        <w:spacing w:after="120"/>
      </w:pPr>
      <w:r w:rsidRPr="00723EBD">
        <w:t xml:space="preserve">Individuals can access mental health support through a range of face-to-face, digital and </w:t>
      </w:r>
      <w:r>
        <w:t>enquiry</w:t>
      </w:r>
      <w:r w:rsidRPr="00723EBD">
        <w:t xml:space="preserve"> services. </w:t>
      </w:r>
      <w:r>
        <w:t xml:space="preserve">The Australian Government Department of Health and Aged Care publishes information on the </w:t>
      </w:r>
      <w:hyperlink r:id="rId16" w:history="1">
        <w:r w:rsidRPr="00A15A38">
          <w:rPr>
            <w:rStyle w:val="Hyperlink"/>
          </w:rPr>
          <w:t>mental health supports</w:t>
        </w:r>
      </w:hyperlink>
      <w:r>
        <w:t xml:space="preserve"> available on its website.</w:t>
      </w:r>
    </w:p>
    <w:p w14:paraId="403B07CA" w14:textId="77777777" w:rsidR="00EA6E14" w:rsidRPr="00723EBD" w:rsidRDefault="00EA6E14" w:rsidP="00EA6E14">
      <w:pPr>
        <w:pStyle w:val="Heading2"/>
        <w:spacing w:after="160"/>
      </w:pPr>
      <w:bookmarkStart w:id="8" w:name="_Toc152164237"/>
      <w:r w:rsidRPr="00723EBD">
        <w:t>Pregnancy</w:t>
      </w:r>
      <w:bookmarkEnd w:id="8"/>
    </w:p>
    <w:p w14:paraId="33A6A0C8" w14:textId="04F5B3F3" w:rsidR="00EA6E14" w:rsidRPr="00723EBD" w:rsidRDefault="00BD1AF6" w:rsidP="00EA6E14">
      <w:r w:rsidRPr="00723EBD">
        <w:t>Foetuses</w:t>
      </w:r>
      <w:r w:rsidR="00EA6E14" w:rsidRPr="00723EBD">
        <w:t xml:space="preserve"> can be exposed to PFAS when their mother’s blood crosses the placenta during pregnancy. However, the scientific research to date does not indicate that PFAS exposure during pregnancy is a major contributor to poor health outcomes in </w:t>
      </w:r>
      <w:r w:rsidR="008010C9">
        <w:t xml:space="preserve">either </w:t>
      </w:r>
      <w:r w:rsidR="00EA6E14" w:rsidRPr="00723EBD">
        <w:t>pregnant women or their babies.</w:t>
      </w:r>
    </w:p>
    <w:p w14:paraId="1A72EEAD" w14:textId="735FEBA8" w:rsidR="00EA6E14" w:rsidRPr="00723EBD" w:rsidRDefault="00EA6E14" w:rsidP="00EA6E14">
      <w:r w:rsidRPr="00723EBD">
        <w:t>Nonetheless, enHealth recommends that pregnant women be considered a potentially sensitive population when investigating PFAS contaminated sites, with a view to minimising their exposure to PFAS as a precaution.</w:t>
      </w:r>
      <w:r w:rsidR="008010C9">
        <w:t xml:space="preserve"> Reducing exposure to any contaminant during pregnancy is important as it is a sensitive period in growth and development.</w:t>
      </w:r>
    </w:p>
    <w:p w14:paraId="2D329A95" w14:textId="20A542D4" w:rsidR="000A32F2" w:rsidRPr="00723EBD" w:rsidRDefault="000A32F2" w:rsidP="00B52947">
      <w:pPr>
        <w:pStyle w:val="Heading2"/>
        <w:spacing w:after="160"/>
      </w:pPr>
      <w:bookmarkStart w:id="9" w:name="_Toc152164238"/>
      <w:r w:rsidRPr="00723EBD">
        <w:t>Breast feeding</w:t>
      </w:r>
      <w:bookmarkEnd w:id="9"/>
    </w:p>
    <w:p w14:paraId="06A2A9C2" w14:textId="41E09227" w:rsidR="009A0E6C" w:rsidRPr="00723EBD" w:rsidRDefault="009A0E6C" w:rsidP="000F32E8">
      <w:r w:rsidRPr="00723EBD">
        <w:t xml:space="preserve">The significant health benefits of breast feeding are well established and outweigh any potential health risks to an infant </w:t>
      </w:r>
      <w:r w:rsidR="007261B9">
        <w:t>or</w:t>
      </w:r>
      <w:r w:rsidR="007D13DC">
        <w:t xml:space="preserve"> child </w:t>
      </w:r>
      <w:r w:rsidRPr="00723EBD">
        <w:t xml:space="preserve">from </w:t>
      </w:r>
      <w:r w:rsidR="007C5C2A">
        <w:t xml:space="preserve">the possibility of </w:t>
      </w:r>
      <w:r w:rsidRPr="00723EBD">
        <w:t xml:space="preserve">any PFAS </w:t>
      </w:r>
      <w:r w:rsidR="007C5C2A">
        <w:t xml:space="preserve">being </w:t>
      </w:r>
      <w:r w:rsidRPr="00723EBD">
        <w:t>transferred through breast milk.</w:t>
      </w:r>
    </w:p>
    <w:p w14:paraId="1C9EBD9D" w14:textId="57460257" w:rsidR="00D32719" w:rsidRPr="00723EBD" w:rsidRDefault="008F2132" w:rsidP="00EA6E14">
      <w:r w:rsidRPr="00723EBD">
        <w:t>PFAS have been detected in human breast milk</w:t>
      </w:r>
      <w:r w:rsidR="002C0E49" w:rsidRPr="00723EBD">
        <w:t xml:space="preserve"> and breast feeding may contribute to an infant’s exposure</w:t>
      </w:r>
      <w:r w:rsidRPr="00723EBD">
        <w:t xml:space="preserve">. </w:t>
      </w:r>
      <w:r w:rsidR="00EA6E14" w:rsidRPr="00723EBD">
        <w:t>enHealth does not recommend that mothers living in or around sites contaminated with PFAS cease breast feeding.</w:t>
      </w:r>
    </w:p>
    <w:p w14:paraId="42FA9916" w14:textId="2B2F6117" w:rsidR="000A32F2" w:rsidRPr="00723EBD" w:rsidRDefault="000A32F2" w:rsidP="00C36729">
      <w:pPr>
        <w:pStyle w:val="Heading2"/>
        <w:spacing w:after="160"/>
      </w:pPr>
      <w:bookmarkStart w:id="10" w:name="_Toc152164239"/>
      <w:r w:rsidRPr="00723EBD">
        <w:t>Blood tests</w:t>
      </w:r>
      <w:bookmarkEnd w:id="10"/>
    </w:p>
    <w:p w14:paraId="2CB77E13" w14:textId="32D22CE6" w:rsidR="007D290E" w:rsidRPr="00723EBD" w:rsidRDefault="007D290E" w:rsidP="007D290E">
      <w:r w:rsidRPr="00723EBD">
        <w:t xml:space="preserve">It is understandable that </w:t>
      </w:r>
      <w:r w:rsidR="007A52BC">
        <w:t>individuals</w:t>
      </w:r>
      <w:r w:rsidR="007A52BC" w:rsidRPr="00723EBD">
        <w:t xml:space="preserve"> </w:t>
      </w:r>
      <w:r w:rsidRPr="00723EBD">
        <w:t xml:space="preserve">living in PFAS affected </w:t>
      </w:r>
      <w:r w:rsidR="008A1C6F">
        <w:t>communities</w:t>
      </w:r>
      <w:r w:rsidRPr="00723EBD">
        <w:t xml:space="preserve"> may want to know what their level of exposure to PFAS is and what this means for their health and the health of their families.</w:t>
      </w:r>
    </w:p>
    <w:p w14:paraId="51B47F1F" w14:textId="44114C1F" w:rsidR="0005517B" w:rsidRPr="00723EBD" w:rsidRDefault="0005517B" w:rsidP="0005517B">
      <w:r w:rsidRPr="00723EBD">
        <w:t xml:space="preserve">A blood test can measure the level of PFAS in a person’s blood. </w:t>
      </w:r>
      <w:r w:rsidR="00723EBD" w:rsidRPr="00723EBD">
        <w:t>If PFAS is detected, this tells a person that they have been exposed to PFAS. The</w:t>
      </w:r>
      <w:r w:rsidR="007C5C2A">
        <w:t xml:space="preserve">se results </w:t>
      </w:r>
      <w:r w:rsidR="00723EBD" w:rsidRPr="00723EBD">
        <w:t xml:space="preserve">could then </w:t>
      </w:r>
      <w:r w:rsidR="007C5C2A">
        <w:t xml:space="preserve">be </w:t>
      </w:r>
      <w:r w:rsidR="00723EBD" w:rsidRPr="00723EBD">
        <w:t>compare</w:t>
      </w:r>
      <w:r w:rsidR="007C5C2A">
        <w:t>d</w:t>
      </w:r>
      <w:r w:rsidR="00723EBD" w:rsidRPr="00723EBD">
        <w:t xml:space="preserve"> with the levels seen in the general Australian population or in other countries using published biomonitoring data. </w:t>
      </w:r>
      <w:r w:rsidR="00F5370A" w:rsidRPr="00723EBD">
        <w:t>However, there</w:t>
      </w:r>
      <w:r w:rsidR="00723EBD" w:rsidRPr="00723EBD">
        <w:t xml:space="preserve"> is at present insufficient scientific evidence for a medical practitioner to be able to tell a person whether their blood level will make them sick now or later in life, or if any current health problems are related to the PFAS levels found in their blood.</w:t>
      </w:r>
    </w:p>
    <w:p w14:paraId="7BDBCE3F" w14:textId="0698E436" w:rsidR="0005517B" w:rsidRPr="00723EBD" w:rsidRDefault="008F2132" w:rsidP="000F32E8">
      <w:r w:rsidRPr="00723EBD">
        <w:t xml:space="preserve">Therefore, </w:t>
      </w:r>
      <w:r w:rsidR="00BD1AF6">
        <w:t xml:space="preserve">individual </w:t>
      </w:r>
      <w:r w:rsidRPr="00723EBD">
        <w:t>blood tests are not recommended</w:t>
      </w:r>
      <w:r w:rsidR="007D290E" w:rsidRPr="00723EBD">
        <w:t xml:space="preserve"> as </w:t>
      </w:r>
      <w:r w:rsidR="007C5C2A">
        <w:t>they</w:t>
      </w:r>
      <w:r w:rsidR="007D290E" w:rsidRPr="00723EBD">
        <w:t xml:space="preserve"> cannot</w:t>
      </w:r>
      <w:r w:rsidRPr="00723EBD">
        <w:t xml:space="preserve"> determine whether any medical condition is attributable to exposure to PFAS and </w:t>
      </w:r>
      <w:r w:rsidR="002D0DE8">
        <w:t xml:space="preserve">these tests </w:t>
      </w:r>
      <w:r w:rsidRPr="00723EBD">
        <w:t xml:space="preserve">have no current value in informing </w:t>
      </w:r>
      <w:r w:rsidR="00BD1AF6">
        <w:t xml:space="preserve">an individual’s </w:t>
      </w:r>
      <w:r w:rsidRPr="00723EBD">
        <w:t xml:space="preserve">clinical management, including diagnosis, </w:t>
      </w:r>
      <w:r w:rsidR="005D70A2" w:rsidRPr="00723EBD">
        <w:t>treatment,</w:t>
      </w:r>
      <w:r w:rsidRPr="00723EBD">
        <w:t xml:space="preserve"> or prognosis in terms of increased risk of </w:t>
      </w:r>
      <w:proofErr w:type="gramStart"/>
      <w:r w:rsidRPr="00723EBD">
        <w:t>particular conditions</w:t>
      </w:r>
      <w:proofErr w:type="gramEnd"/>
      <w:r w:rsidRPr="00723EBD">
        <w:t xml:space="preserve"> over time.</w:t>
      </w:r>
    </w:p>
    <w:p w14:paraId="331485DB" w14:textId="723BDA08" w:rsidR="0005517B" w:rsidRPr="00723EBD" w:rsidRDefault="008F2132" w:rsidP="000F32E8">
      <w:r w:rsidRPr="00723EBD">
        <w:t xml:space="preserve">It is noted that various organisations around the world, including Australia, have collected blood samples from people as part of ongoing investigations into PFAS contamination of soil and water. The purpose of these tests was either as part of a defined research program, including to measure the effectiveness of global restrictions under international treaties, or to determine how much of these chemicals may be entering a person’s body. </w:t>
      </w:r>
      <w:r w:rsidR="008010C9">
        <w:t>Blood testing remains important in research projects that try to investigate links between exposure and disease, as well as for</w:t>
      </w:r>
      <w:r w:rsidRPr="00723EBD">
        <w:t xml:space="preserve"> monitoring </w:t>
      </w:r>
      <w:r w:rsidR="008010C9">
        <w:t>projects that</w:t>
      </w:r>
      <w:r w:rsidRPr="00723EBD">
        <w:t xml:space="preserve"> may help determine the success of exposure reduction measures. However, given the long biological half-life of PFAS, frequent blood monitoring </w:t>
      </w:r>
      <w:r w:rsidR="008010C9">
        <w:t xml:space="preserve">of an individual </w:t>
      </w:r>
      <w:r w:rsidRPr="00723EBD">
        <w:t>is of limited value.</w:t>
      </w:r>
    </w:p>
    <w:p w14:paraId="3C042204" w14:textId="6F706BE6" w:rsidR="0005517B" w:rsidRPr="00723EBD" w:rsidRDefault="008F2132" w:rsidP="000F32E8">
      <w:r w:rsidRPr="00723EBD">
        <w:t>enHealth advises that:</w:t>
      </w:r>
    </w:p>
    <w:p w14:paraId="68F956E8" w14:textId="64BB7A7B" w:rsidR="0005517B" w:rsidRPr="00723EBD" w:rsidRDefault="008F2132" w:rsidP="0005517B">
      <w:pPr>
        <w:pStyle w:val="ListParagraph"/>
        <w:numPr>
          <w:ilvl w:val="0"/>
          <w:numId w:val="18"/>
        </w:numPr>
      </w:pPr>
      <w:r w:rsidRPr="00723EBD">
        <w:t xml:space="preserve">blood testing has no current value in informing clinical </w:t>
      </w:r>
      <w:proofErr w:type="gramStart"/>
      <w:r w:rsidRPr="00723EBD">
        <w:t>management</w:t>
      </w:r>
      <w:proofErr w:type="gramEnd"/>
    </w:p>
    <w:p w14:paraId="2D228562" w14:textId="40C9422C" w:rsidR="008F2132" w:rsidRPr="00723EBD" w:rsidRDefault="008F2132" w:rsidP="0005517B">
      <w:pPr>
        <w:pStyle w:val="ListParagraph"/>
        <w:numPr>
          <w:ilvl w:val="0"/>
          <w:numId w:val="18"/>
        </w:numPr>
      </w:pPr>
      <w:r w:rsidRPr="00723EBD">
        <w:t>the monitoring of pooled community blood samples over time can help determine the success of exposure reduction measures</w:t>
      </w:r>
      <w:r w:rsidR="007C5C2A">
        <w:t>.</w:t>
      </w:r>
    </w:p>
    <w:p w14:paraId="64A45429" w14:textId="188C776E" w:rsidR="0063248D" w:rsidRPr="00FF732B" w:rsidRDefault="000A32F2" w:rsidP="00FF732B">
      <w:r w:rsidRPr="00723EBD">
        <w:t>In the absence of any test, including a blood test, being definitive in informing individual risk and clinical management, exposure reduction is the key measure to reduce any possible risks posed by PFAS.</w:t>
      </w:r>
    </w:p>
    <w:p w14:paraId="31E29BD0" w14:textId="1107A48D" w:rsidR="00F44176" w:rsidRPr="00723EBD" w:rsidRDefault="00F44176" w:rsidP="00F44176">
      <w:pPr>
        <w:pStyle w:val="Heading2"/>
      </w:pPr>
      <w:bookmarkStart w:id="11" w:name="_Toc152164240"/>
      <w:r w:rsidRPr="00723EBD">
        <w:t xml:space="preserve">Additional </w:t>
      </w:r>
      <w:r w:rsidR="00723EBD" w:rsidRPr="00723EBD">
        <w:t>Information</w:t>
      </w:r>
      <w:bookmarkEnd w:id="11"/>
      <w:r w:rsidRPr="00723EBD">
        <w:t xml:space="preserve"> </w:t>
      </w:r>
    </w:p>
    <w:p w14:paraId="75A9552A" w14:textId="0F09D3F6" w:rsidR="00BA6906" w:rsidRDefault="0074210C" w:rsidP="0031026C">
      <w:pPr>
        <w:spacing w:before="160" w:after="0"/>
      </w:pPr>
      <w:r>
        <w:t>Further information on the Australian Government’s response to PFAS, including information on site investigations and health advice</w:t>
      </w:r>
      <w:r w:rsidR="004B045A">
        <w:t xml:space="preserve"> </w:t>
      </w:r>
      <w:r w:rsidR="00894CA5">
        <w:t xml:space="preserve">and links to relevant government departments </w:t>
      </w:r>
      <w:r>
        <w:t xml:space="preserve">can be found on </w:t>
      </w:r>
      <w:r w:rsidR="00C3242E">
        <w:t xml:space="preserve">the </w:t>
      </w:r>
      <w:r w:rsidR="00C3242E" w:rsidRPr="00723EBD">
        <w:t>Australian Information Portal on PFAS</w:t>
      </w:r>
      <w:r>
        <w:t xml:space="preserve"> at </w:t>
      </w:r>
      <w:hyperlink r:id="rId17" w:history="1">
        <w:r w:rsidRPr="00953F00">
          <w:rPr>
            <w:rStyle w:val="Hyperlink"/>
          </w:rPr>
          <w:t>https://www.pfas.gov.au/</w:t>
        </w:r>
      </w:hyperlink>
      <w:r>
        <w:t>.</w:t>
      </w:r>
    </w:p>
    <w:p w14:paraId="54385C20" w14:textId="747FF1BA" w:rsidR="004D1654" w:rsidRDefault="00FF732B" w:rsidP="000F32E8">
      <w:r>
        <w:br/>
      </w:r>
      <w:r w:rsidR="004D1654">
        <w:t>The contact information for each state and territory health department is:</w:t>
      </w:r>
    </w:p>
    <w:tbl>
      <w:tblPr>
        <w:tblStyle w:val="TableGrid"/>
        <w:tblW w:w="0" w:type="auto"/>
        <w:tblLook w:val="04A0" w:firstRow="1" w:lastRow="0" w:firstColumn="1" w:lastColumn="0" w:noHBand="0" w:noVBand="1"/>
      </w:tblPr>
      <w:tblGrid>
        <w:gridCol w:w="846"/>
        <w:gridCol w:w="8170"/>
      </w:tblGrid>
      <w:tr w:rsidR="00876850" w14:paraId="2F3D1ED9" w14:textId="77777777" w:rsidTr="008620B9">
        <w:trPr>
          <w:trHeight w:val="267"/>
        </w:trPr>
        <w:tc>
          <w:tcPr>
            <w:tcW w:w="846" w:type="dxa"/>
          </w:tcPr>
          <w:p w14:paraId="04E5189B" w14:textId="2B62A233" w:rsidR="00876850" w:rsidRDefault="00876850" w:rsidP="000F32E8">
            <w:r>
              <w:t>NSW</w:t>
            </w:r>
          </w:p>
        </w:tc>
        <w:tc>
          <w:tcPr>
            <w:tcW w:w="8170" w:type="dxa"/>
          </w:tcPr>
          <w:p w14:paraId="63EDA76E" w14:textId="7DF8536C" w:rsidR="00876850" w:rsidRPr="008620B9" w:rsidRDefault="00C91705" w:rsidP="000F32E8">
            <w:pPr>
              <w:rPr>
                <w:sz w:val="16"/>
                <w:szCs w:val="16"/>
              </w:rPr>
            </w:pPr>
            <w:r w:rsidRPr="008620B9">
              <w:rPr>
                <w:sz w:val="16"/>
                <w:szCs w:val="16"/>
              </w:rPr>
              <w:t>https://www.health.nsw.gov.au/Pages/contact.aspx</w:t>
            </w:r>
          </w:p>
        </w:tc>
      </w:tr>
      <w:tr w:rsidR="00876850" w14:paraId="5A7F08E9" w14:textId="77777777" w:rsidTr="008620B9">
        <w:trPr>
          <w:trHeight w:val="267"/>
        </w:trPr>
        <w:tc>
          <w:tcPr>
            <w:tcW w:w="846" w:type="dxa"/>
          </w:tcPr>
          <w:p w14:paraId="56D53649" w14:textId="42088C8E" w:rsidR="00876850" w:rsidRDefault="00876850" w:rsidP="000F32E8">
            <w:r>
              <w:t>VIC</w:t>
            </w:r>
          </w:p>
        </w:tc>
        <w:tc>
          <w:tcPr>
            <w:tcW w:w="8170" w:type="dxa"/>
          </w:tcPr>
          <w:p w14:paraId="4C9064FD" w14:textId="00223815" w:rsidR="00876850" w:rsidRPr="008620B9" w:rsidRDefault="00C91705" w:rsidP="000F32E8">
            <w:pPr>
              <w:rPr>
                <w:sz w:val="16"/>
                <w:szCs w:val="16"/>
              </w:rPr>
            </w:pPr>
            <w:r w:rsidRPr="008620B9">
              <w:rPr>
                <w:sz w:val="16"/>
                <w:szCs w:val="16"/>
              </w:rPr>
              <w:t>https://www.health.gov.au/about-us/contact-us</w:t>
            </w:r>
          </w:p>
        </w:tc>
      </w:tr>
      <w:tr w:rsidR="00876850" w14:paraId="6B70AA33" w14:textId="77777777" w:rsidTr="008620B9">
        <w:trPr>
          <w:trHeight w:val="267"/>
        </w:trPr>
        <w:tc>
          <w:tcPr>
            <w:tcW w:w="846" w:type="dxa"/>
          </w:tcPr>
          <w:p w14:paraId="5685CC07" w14:textId="29F5F733" w:rsidR="00876850" w:rsidRDefault="00876850" w:rsidP="000F32E8">
            <w:r>
              <w:t>QLD</w:t>
            </w:r>
          </w:p>
        </w:tc>
        <w:tc>
          <w:tcPr>
            <w:tcW w:w="8170" w:type="dxa"/>
          </w:tcPr>
          <w:p w14:paraId="65F10C45" w14:textId="75EB7741" w:rsidR="00876850" w:rsidRPr="008620B9" w:rsidRDefault="00C91705" w:rsidP="000F32E8">
            <w:pPr>
              <w:rPr>
                <w:sz w:val="16"/>
                <w:szCs w:val="16"/>
              </w:rPr>
            </w:pPr>
            <w:r w:rsidRPr="008620B9">
              <w:rPr>
                <w:sz w:val="16"/>
                <w:szCs w:val="16"/>
              </w:rPr>
              <w:t>https://www.health.qld.gov.au/comments</w:t>
            </w:r>
          </w:p>
        </w:tc>
      </w:tr>
      <w:tr w:rsidR="00876850" w14:paraId="6A3E9B48" w14:textId="77777777" w:rsidTr="008620B9">
        <w:trPr>
          <w:trHeight w:val="257"/>
        </w:trPr>
        <w:tc>
          <w:tcPr>
            <w:tcW w:w="846" w:type="dxa"/>
          </w:tcPr>
          <w:p w14:paraId="5C3E5F63" w14:textId="4CCF12EF" w:rsidR="00876850" w:rsidRDefault="00876850" w:rsidP="000F32E8">
            <w:r>
              <w:t>SA</w:t>
            </w:r>
          </w:p>
        </w:tc>
        <w:tc>
          <w:tcPr>
            <w:tcW w:w="8170" w:type="dxa"/>
          </w:tcPr>
          <w:p w14:paraId="5FDE325A" w14:textId="15573132" w:rsidR="00876850" w:rsidRPr="008620B9" w:rsidRDefault="00C91705" w:rsidP="000F32E8">
            <w:pPr>
              <w:rPr>
                <w:sz w:val="16"/>
                <w:szCs w:val="16"/>
              </w:rPr>
            </w:pPr>
            <w:r w:rsidRPr="008620B9">
              <w:rPr>
                <w:sz w:val="16"/>
                <w:szCs w:val="16"/>
              </w:rPr>
              <w:t>https://www.sahealth.sa.gov.au/wps/wcm/connect/public+content/sa+health+internet/contact+us/contact+us</w:t>
            </w:r>
          </w:p>
        </w:tc>
      </w:tr>
      <w:tr w:rsidR="00876850" w14:paraId="34279ED0" w14:textId="77777777" w:rsidTr="008620B9">
        <w:trPr>
          <w:trHeight w:val="267"/>
        </w:trPr>
        <w:tc>
          <w:tcPr>
            <w:tcW w:w="846" w:type="dxa"/>
          </w:tcPr>
          <w:p w14:paraId="7ED80B45" w14:textId="53FD37C3" w:rsidR="00876850" w:rsidRDefault="00876850" w:rsidP="000F32E8">
            <w:r>
              <w:t>WA</w:t>
            </w:r>
          </w:p>
        </w:tc>
        <w:tc>
          <w:tcPr>
            <w:tcW w:w="8170" w:type="dxa"/>
          </w:tcPr>
          <w:p w14:paraId="41354868" w14:textId="6D66242B" w:rsidR="00876850" w:rsidRPr="008620B9" w:rsidRDefault="00234252" w:rsidP="000F32E8">
            <w:pPr>
              <w:rPr>
                <w:sz w:val="16"/>
                <w:szCs w:val="16"/>
              </w:rPr>
            </w:pPr>
            <w:r w:rsidRPr="008620B9">
              <w:rPr>
                <w:sz w:val="16"/>
                <w:szCs w:val="16"/>
              </w:rPr>
              <w:t>https://www.health.wa.gov.au/about-us/contact-us</w:t>
            </w:r>
          </w:p>
        </w:tc>
      </w:tr>
      <w:tr w:rsidR="00876850" w14:paraId="72127D3E" w14:textId="77777777" w:rsidTr="008620B9">
        <w:trPr>
          <w:trHeight w:val="267"/>
        </w:trPr>
        <w:tc>
          <w:tcPr>
            <w:tcW w:w="846" w:type="dxa"/>
          </w:tcPr>
          <w:p w14:paraId="6F047404" w14:textId="27DFA804" w:rsidR="00876850" w:rsidRDefault="00876850" w:rsidP="000F32E8">
            <w:r>
              <w:t>TAS</w:t>
            </w:r>
          </w:p>
        </w:tc>
        <w:tc>
          <w:tcPr>
            <w:tcW w:w="8170" w:type="dxa"/>
          </w:tcPr>
          <w:p w14:paraId="18E3B138" w14:textId="5047E1A8" w:rsidR="00876850" w:rsidRPr="008620B9" w:rsidRDefault="00234252" w:rsidP="000F32E8">
            <w:pPr>
              <w:rPr>
                <w:sz w:val="16"/>
                <w:szCs w:val="16"/>
              </w:rPr>
            </w:pPr>
            <w:r w:rsidRPr="00234252">
              <w:rPr>
                <w:sz w:val="16"/>
                <w:szCs w:val="16"/>
              </w:rPr>
              <w:t>https://www.health.tas.gov.au/contact-us</w:t>
            </w:r>
          </w:p>
        </w:tc>
      </w:tr>
      <w:tr w:rsidR="00876850" w14:paraId="139165CE" w14:textId="77777777" w:rsidTr="008620B9">
        <w:trPr>
          <w:trHeight w:val="267"/>
        </w:trPr>
        <w:tc>
          <w:tcPr>
            <w:tcW w:w="846" w:type="dxa"/>
          </w:tcPr>
          <w:p w14:paraId="4A5BB3CD" w14:textId="18379248" w:rsidR="00876850" w:rsidRDefault="00876850" w:rsidP="000F32E8">
            <w:r>
              <w:t>ACT</w:t>
            </w:r>
          </w:p>
        </w:tc>
        <w:tc>
          <w:tcPr>
            <w:tcW w:w="8170" w:type="dxa"/>
          </w:tcPr>
          <w:p w14:paraId="3B0D981D" w14:textId="1F1F4516" w:rsidR="00876850" w:rsidRPr="008620B9" w:rsidRDefault="00C91705" w:rsidP="000F32E8">
            <w:pPr>
              <w:rPr>
                <w:sz w:val="16"/>
                <w:szCs w:val="16"/>
              </w:rPr>
            </w:pPr>
            <w:r w:rsidRPr="008620B9">
              <w:rPr>
                <w:sz w:val="16"/>
                <w:szCs w:val="16"/>
              </w:rPr>
              <w:t>https://www.health.act.gov.au/contact-us</w:t>
            </w:r>
          </w:p>
        </w:tc>
      </w:tr>
      <w:tr w:rsidR="00876850" w14:paraId="3710331B" w14:textId="77777777" w:rsidTr="008620B9">
        <w:trPr>
          <w:trHeight w:val="267"/>
        </w:trPr>
        <w:tc>
          <w:tcPr>
            <w:tcW w:w="846" w:type="dxa"/>
          </w:tcPr>
          <w:p w14:paraId="4BFB5E6F" w14:textId="6A2826AE" w:rsidR="00876850" w:rsidRDefault="00876850" w:rsidP="000F32E8">
            <w:r>
              <w:t>NT</w:t>
            </w:r>
          </w:p>
        </w:tc>
        <w:tc>
          <w:tcPr>
            <w:tcW w:w="8170" w:type="dxa"/>
          </w:tcPr>
          <w:p w14:paraId="0562B6EC" w14:textId="3EFF91D8" w:rsidR="00876850" w:rsidRPr="008620B9" w:rsidRDefault="00234252" w:rsidP="000F32E8">
            <w:pPr>
              <w:rPr>
                <w:sz w:val="16"/>
                <w:szCs w:val="16"/>
              </w:rPr>
            </w:pPr>
            <w:r w:rsidRPr="008620B9">
              <w:rPr>
                <w:sz w:val="16"/>
                <w:szCs w:val="16"/>
              </w:rPr>
              <w:t>https://health.nt.gov.au/contact</w:t>
            </w:r>
          </w:p>
        </w:tc>
      </w:tr>
    </w:tbl>
    <w:p w14:paraId="07B2689D" w14:textId="77777777" w:rsidR="00F62C68" w:rsidRDefault="00F62C68" w:rsidP="000F32E8"/>
    <w:sectPr w:rsidR="00F62C68" w:rsidSect="00F1314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9DAA" w14:textId="77777777" w:rsidR="007403EF" w:rsidRDefault="007403EF" w:rsidP="000A32F2">
      <w:pPr>
        <w:spacing w:after="0" w:line="240" w:lineRule="auto"/>
      </w:pPr>
      <w:r>
        <w:separator/>
      </w:r>
    </w:p>
  </w:endnote>
  <w:endnote w:type="continuationSeparator" w:id="0">
    <w:p w14:paraId="4D16452D" w14:textId="77777777" w:rsidR="007403EF" w:rsidRDefault="007403EF" w:rsidP="000A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BFE9" w14:textId="77777777" w:rsidR="0088519B" w:rsidRDefault="0088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10474"/>
      <w:docPartObj>
        <w:docPartGallery w:val="Page Numbers (Bottom of Page)"/>
        <w:docPartUnique/>
      </w:docPartObj>
    </w:sdtPr>
    <w:sdtEndPr>
      <w:rPr>
        <w:noProof/>
      </w:rPr>
    </w:sdtEndPr>
    <w:sdtContent>
      <w:p w14:paraId="799C8DCB" w14:textId="2FD6E4D9" w:rsidR="001B2771" w:rsidRDefault="001B27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88414" w14:textId="77777777" w:rsidR="001B2771" w:rsidRDefault="001B2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566C" w14:textId="77777777" w:rsidR="0088519B" w:rsidRDefault="0088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C512" w14:textId="77777777" w:rsidR="007403EF" w:rsidRDefault="007403EF" w:rsidP="000A32F2">
      <w:pPr>
        <w:spacing w:after="0" w:line="240" w:lineRule="auto"/>
      </w:pPr>
      <w:r>
        <w:separator/>
      </w:r>
    </w:p>
  </w:footnote>
  <w:footnote w:type="continuationSeparator" w:id="0">
    <w:p w14:paraId="12D8C6C6" w14:textId="77777777" w:rsidR="007403EF" w:rsidRDefault="007403EF" w:rsidP="000A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5F5D" w14:textId="7725F0AB" w:rsidR="0088519B" w:rsidRDefault="00885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3A23" w14:textId="058ECA68" w:rsidR="001B2771" w:rsidRDefault="001B2771">
    <w:pPr>
      <w:pStyle w:val="Header"/>
    </w:pPr>
    <w:r w:rsidRPr="000A32F2">
      <w:rPr>
        <w:noProof/>
      </w:rPr>
      <w:drawing>
        <wp:inline distT="0" distB="0" distL="0" distR="0" wp14:anchorId="2E07CE9E" wp14:editId="72CDCDDA">
          <wp:extent cx="5731510" cy="5003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00380"/>
                  </a:xfrm>
                  <a:prstGeom prst="rect">
                    <a:avLst/>
                  </a:prstGeom>
                  <a:noFill/>
                  <a:ln>
                    <a:noFill/>
                  </a:ln>
                </pic:spPr>
              </pic:pic>
            </a:graphicData>
          </a:graphic>
        </wp:inline>
      </w:drawing>
    </w:r>
  </w:p>
  <w:p w14:paraId="7DDE4BDA" w14:textId="77777777" w:rsidR="001B2771" w:rsidRDefault="001B2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718" w14:textId="0BD7F6DB" w:rsidR="0088519B" w:rsidRDefault="00885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149"/>
    <w:multiLevelType w:val="hybridMultilevel"/>
    <w:tmpl w:val="108E7E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C747BBA"/>
    <w:multiLevelType w:val="hybridMultilevel"/>
    <w:tmpl w:val="DA66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D489B"/>
    <w:multiLevelType w:val="hybridMultilevel"/>
    <w:tmpl w:val="DC38F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3B6C39"/>
    <w:multiLevelType w:val="hybridMultilevel"/>
    <w:tmpl w:val="2732F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F237C"/>
    <w:multiLevelType w:val="hybridMultilevel"/>
    <w:tmpl w:val="0F24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C10AB"/>
    <w:multiLevelType w:val="hybridMultilevel"/>
    <w:tmpl w:val="6B5660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74A2DF9"/>
    <w:multiLevelType w:val="hybridMultilevel"/>
    <w:tmpl w:val="D94A7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2C0BB7"/>
    <w:multiLevelType w:val="hybridMultilevel"/>
    <w:tmpl w:val="F780A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EA562DE"/>
    <w:multiLevelType w:val="multilevel"/>
    <w:tmpl w:val="4BE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45684"/>
    <w:multiLevelType w:val="multilevel"/>
    <w:tmpl w:val="C04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945FA"/>
    <w:multiLevelType w:val="hybridMultilevel"/>
    <w:tmpl w:val="AB06B0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69303CE"/>
    <w:multiLevelType w:val="hybridMultilevel"/>
    <w:tmpl w:val="48F2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F1D40"/>
    <w:multiLevelType w:val="hybridMultilevel"/>
    <w:tmpl w:val="B8CE4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CC00C5"/>
    <w:multiLevelType w:val="multilevel"/>
    <w:tmpl w:val="4A1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E40E7"/>
    <w:multiLevelType w:val="hybridMultilevel"/>
    <w:tmpl w:val="CCCE7A4C"/>
    <w:lvl w:ilvl="0" w:tplc="AA1EBF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1B3D3C"/>
    <w:multiLevelType w:val="hybridMultilevel"/>
    <w:tmpl w:val="C9821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855E15"/>
    <w:multiLevelType w:val="hybridMultilevel"/>
    <w:tmpl w:val="A170D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BD11B4"/>
    <w:multiLevelType w:val="multilevel"/>
    <w:tmpl w:val="D0D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F4BC1"/>
    <w:multiLevelType w:val="hybridMultilevel"/>
    <w:tmpl w:val="C4C08BC8"/>
    <w:lvl w:ilvl="0" w:tplc="6D6897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D00270"/>
    <w:multiLevelType w:val="multilevel"/>
    <w:tmpl w:val="603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E5D26"/>
    <w:multiLevelType w:val="multilevel"/>
    <w:tmpl w:val="6BD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52064"/>
    <w:multiLevelType w:val="hybridMultilevel"/>
    <w:tmpl w:val="245C2C9C"/>
    <w:lvl w:ilvl="0" w:tplc="3EC0B1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E362CC"/>
    <w:multiLevelType w:val="hybridMultilevel"/>
    <w:tmpl w:val="A6AA4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30030"/>
    <w:multiLevelType w:val="hybridMultilevel"/>
    <w:tmpl w:val="CDF24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36C4F0B"/>
    <w:multiLevelType w:val="hybridMultilevel"/>
    <w:tmpl w:val="2DD6D398"/>
    <w:lvl w:ilvl="0" w:tplc="B05C7004">
      <w:start w:val="1"/>
      <w:numFmt w:val="bullet"/>
      <w:lvlText w:val=""/>
      <w:lvlJc w:val="left"/>
      <w:pPr>
        <w:ind w:left="360" w:hanging="360"/>
      </w:pPr>
      <w:rPr>
        <w:rFonts w:ascii="Symbol" w:hAnsi="Symbol" w:hint="default"/>
      </w:rPr>
    </w:lvl>
    <w:lvl w:ilvl="1" w:tplc="C1AC9A80">
      <w:start w:val="1"/>
      <w:numFmt w:val="bullet"/>
      <w:lvlText w:val=""/>
      <w:lvlJc w:val="left"/>
      <w:pPr>
        <w:ind w:left="1080" w:hanging="360"/>
      </w:pPr>
      <w:rPr>
        <w:rFonts w:ascii="Symbol" w:hAnsi="Symbol" w:hint="default"/>
      </w:rPr>
    </w:lvl>
    <w:lvl w:ilvl="2" w:tplc="B5AE8328">
      <w:start w:val="1"/>
      <w:numFmt w:val="bullet"/>
      <w:lvlText w:val=""/>
      <w:lvlJc w:val="left"/>
      <w:pPr>
        <w:ind w:left="1800" w:hanging="360"/>
      </w:pPr>
      <w:rPr>
        <w:rFonts w:ascii="Wingdings" w:hAnsi="Wingdings" w:hint="default"/>
      </w:rPr>
    </w:lvl>
    <w:lvl w:ilvl="3" w:tplc="112AEFCC" w:tentative="1">
      <w:start w:val="1"/>
      <w:numFmt w:val="bullet"/>
      <w:lvlText w:val=""/>
      <w:lvlJc w:val="left"/>
      <w:pPr>
        <w:ind w:left="2520" w:hanging="360"/>
      </w:pPr>
      <w:rPr>
        <w:rFonts w:ascii="Symbol" w:hAnsi="Symbol" w:hint="default"/>
      </w:rPr>
    </w:lvl>
    <w:lvl w:ilvl="4" w:tplc="2D8A6DE6" w:tentative="1">
      <w:start w:val="1"/>
      <w:numFmt w:val="bullet"/>
      <w:lvlText w:val="o"/>
      <w:lvlJc w:val="left"/>
      <w:pPr>
        <w:ind w:left="3240" w:hanging="360"/>
      </w:pPr>
      <w:rPr>
        <w:rFonts w:ascii="Courier New" w:hAnsi="Courier New" w:cs="Courier New" w:hint="default"/>
      </w:rPr>
    </w:lvl>
    <w:lvl w:ilvl="5" w:tplc="6D14F688" w:tentative="1">
      <w:start w:val="1"/>
      <w:numFmt w:val="bullet"/>
      <w:lvlText w:val=""/>
      <w:lvlJc w:val="left"/>
      <w:pPr>
        <w:ind w:left="3960" w:hanging="360"/>
      </w:pPr>
      <w:rPr>
        <w:rFonts w:ascii="Wingdings" w:hAnsi="Wingdings" w:hint="default"/>
      </w:rPr>
    </w:lvl>
    <w:lvl w:ilvl="6" w:tplc="867233DA" w:tentative="1">
      <w:start w:val="1"/>
      <w:numFmt w:val="bullet"/>
      <w:lvlText w:val=""/>
      <w:lvlJc w:val="left"/>
      <w:pPr>
        <w:ind w:left="4680" w:hanging="360"/>
      </w:pPr>
      <w:rPr>
        <w:rFonts w:ascii="Symbol" w:hAnsi="Symbol" w:hint="default"/>
      </w:rPr>
    </w:lvl>
    <w:lvl w:ilvl="7" w:tplc="B5CE3E70" w:tentative="1">
      <w:start w:val="1"/>
      <w:numFmt w:val="bullet"/>
      <w:lvlText w:val="o"/>
      <w:lvlJc w:val="left"/>
      <w:pPr>
        <w:ind w:left="5400" w:hanging="360"/>
      </w:pPr>
      <w:rPr>
        <w:rFonts w:ascii="Courier New" w:hAnsi="Courier New" w:cs="Courier New" w:hint="default"/>
      </w:rPr>
    </w:lvl>
    <w:lvl w:ilvl="8" w:tplc="C1324B4A" w:tentative="1">
      <w:start w:val="1"/>
      <w:numFmt w:val="bullet"/>
      <w:lvlText w:val=""/>
      <w:lvlJc w:val="left"/>
      <w:pPr>
        <w:ind w:left="6120" w:hanging="360"/>
      </w:pPr>
      <w:rPr>
        <w:rFonts w:ascii="Wingdings" w:hAnsi="Wingdings" w:hint="default"/>
      </w:rPr>
    </w:lvl>
  </w:abstractNum>
  <w:abstractNum w:abstractNumId="25" w15:restartNumberingAfterBreak="0">
    <w:nsid w:val="772635A5"/>
    <w:multiLevelType w:val="hybridMultilevel"/>
    <w:tmpl w:val="9968C772"/>
    <w:lvl w:ilvl="0" w:tplc="A7643692">
      <w:start w:val="1"/>
      <w:numFmt w:val="bullet"/>
      <w:lvlText w:val=""/>
      <w:lvlJc w:val="left"/>
      <w:pPr>
        <w:ind w:left="360" w:hanging="360"/>
      </w:pPr>
      <w:rPr>
        <w:rFonts w:ascii="Symbol" w:hAnsi="Symbol" w:hint="default"/>
        <w:color w:val="auto"/>
      </w:rPr>
    </w:lvl>
    <w:lvl w:ilvl="1" w:tplc="D2B4BA06">
      <w:start w:val="1"/>
      <w:numFmt w:val="bullet"/>
      <w:lvlText w:val="o"/>
      <w:lvlJc w:val="left"/>
      <w:pPr>
        <w:ind w:left="1440" w:hanging="360"/>
      </w:pPr>
      <w:rPr>
        <w:rFonts w:ascii="Courier New" w:hAnsi="Courier New" w:cs="Courier New" w:hint="default"/>
      </w:rPr>
    </w:lvl>
    <w:lvl w:ilvl="2" w:tplc="0432384A">
      <w:start w:val="1"/>
      <w:numFmt w:val="bullet"/>
      <w:lvlText w:val=""/>
      <w:lvlJc w:val="left"/>
      <w:pPr>
        <w:ind w:left="2160" w:hanging="360"/>
      </w:pPr>
      <w:rPr>
        <w:rFonts w:ascii="Wingdings" w:hAnsi="Wingdings" w:hint="default"/>
      </w:rPr>
    </w:lvl>
    <w:lvl w:ilvl="3" w:tplc="C05C0AC0" w:tentative="1">
      <w:start w:val="1"/>
      <w:numFmt w:val="bullet"/>
      <w:lvlText w:val=""/>
      <w:lvlJc w:val="left"/>
      <w:pPr>
        <w:ind w:left="2880" w:hanging="360"/>
      </w:pPr>
      <w:rPr>
        <w:rFonts w:ascii="Symbol" w:hAnsi="Symbol" w:hint="default"/>
      </w:rPr>
    </w:lvl>
    <w:lvl w:ilvl="4" w:tplc="D73808F2" w:tentative="1">
      <w:start w:val="1"/>
      <w:numFmt w:val="bullet"/>
      <w:lvlText w:val="o"/>
      <w:lvlJc w:val="left"/>
      <w:pPr>
        <w:ind w:left="3600" w:hanging="360"/>
      </w:pPr>
      <w:rPr>
        <w:rFonts w:ascii="Courier New" w:hAnsi="Courier New" w:cs="Courier New" w:hint="default"/>
      </w:rPr>
    </w:lvl>
    <w:lvl w:ilvl="5" w:tplc="7542DDA2" w:tentative="1">
      <w:start w:val="1"/>
      <w:numFmt w:val="bullet"/>
      <w:lvlText w:val=""/>
      <w:lvlJc w:val="left"/>
      <w:pPr>
        <w:ind w:left="4320" w:hanging="360"/>
      </w:pPr>
      <w:rPr>
        <w:rFonts w:ascii="Wingdings" w:hAnsi="Wingdings" w:hint="default"/>
      </w:rPr>
    </w:lvl>
    <w:lvl w:ilvl="6" w:tplc="11D6B06C" w:tentative="1">
      <w:start w:val="1"/>
      <w:numFmt w:val="bullet"/>
      <w:lvlText w:val=""/>
      <w:lvlJc w:val="left"/>
      <w:pPr>
        <w:ind w:left="5040" w:hanging="360"/>
      </w:pPr>
      <w:rPr>
        <w:rFonts w:ascii="Symbol" w:hAnsi="Symbol" w:hint="default"/>
      </w:rPr>
    </w:lvl>
    <w:lvl w:ilvl="7" w:tplc="C310BC1C" w:tentative="1">
      <w:start w:val="1"/>
      <w:numFmt w:val="bullet"/>
      <w:lvlText w:val="o"/>
      <w:lvlJc w:val="left"/>
      <w:pPr>
        <w:ind w:left="5760" w:hanging="360"/>
      </w:pPr>
      <w:rPr>
        <w:rFonts w:ascii="Courier New" w:hAnsi="Courier New" w:cs="Courier New" w:hint="default"/>
      </w:rPr>
    </w:lvl>
    <w:lvl w:ilvl="8" w:tplc="132CE540" w:tentative="1">
      <w:start w:val="1"/>
      <w:numFmt w:val="bullet"/>
      <w:lvlText w:val=""/>
      <w:lvlJc w:val="left"/>
      <w:pPr>
        <w:ind w:left="6480" w:hanging="360"/>
      </w:pPr>
      <w:rPr>
        <w:rFonts w:ascii="Wingdings" w:hAnsi="Wingdings" w:hint="default"/>
      </w:rPr>
    </w:lvl>
  </w:abstractNum>
  <w:num w:numId="1" w16cid:durableId="1447313160">
    <w:abstractNumId w:val="14"/>
  </w:num>
  <w:num w:numId="2" w16cid:durableId="828984936">
    <w:abstractNumId w:val="0"/>
  </w:num>
  <w:num w:numId="3" w16cid:durableId="1982534231">
    <w:abstractNumId w:val="5"/>
  </w:num>
  <w:num w:numId="4" w16cid:durableId="513106900">
    <w:abstractNumId w:val="25"/>
  </w:num>
  <w:num w:numId="5" w16cid:durableId="1948737402">
    <w:abstractNumId w:val="25"/>
  </w:num>
  <w:num w:numId="6" w16cid:durableId="1131627783">
    <w:abstractNumId w:val="3"/>
  </w:num>
  <w:num w:numId="7" w16cid:durableId="1983384091">
    <w:abstractNumId w:val="10"/>
  </w:num>
  <w:num w:numId="8" w16cid:durableId="1543589251">
    <w:abstractNumId w:val="1"/>
  </w:num>
  <w:num w:numId="9" w16cid:durableId="1577864587">
    <w:abstractNumId w:val="22"/>
  </w:num>
  <w:num w:numId="10" w16cid:durableId="526409000">
    <w:abstractNumId w:val="11"/>
  </w:num>
  <w:num w:numId="11" w16cid:durableId="1028094931">
    <w:abstractNumId w:val="10"/>
  </w:num>
  <w:num w:numId="12" w16cid:durableId="35276857">
    <w:abstractNumId w:val="7"/>
  </w:num>
  <w:num w:numId="13" w16cid:durableId="1472020479">
    <w:abstractNumId w:val="9"/>
  </w:num>
  <w:num w:numId="14" w16cid:durableId="1333755515">
    <w:abstractNumId w:val="13"/>
  </w:num>
  <w:num w:numId="15" w16cid:durableId="1100569023">
    <w:abstractNumId w:val="17"/>
  </w:num>
  <w:num w:numId="16" w16cid:durableId="1108624615">
    <w:abstractNumId w:val="8"/>
  </w:num>
  <w:num w:numId="17" w16cid:durableId="836847483">
    <w:abstractNumId w:val="24"/>
  </w:num>
  <w:num w:numId="18" w16cid:durableId="261230923">
    <w:abstractNumId w:val="4"/>
  </w:num>
  <w:num w:numId="19" w16cid:durableId="1227372555">
    <w:abstractNumId w:val="19"/>
  </w:num>
  <w:num w:numId="20" w16cid:durableId="807169919">
    <w:abstractNumId w:val="20"/>
  </w:num>
  <w:num w:numId="21" w16cid:durableId="544374533">
    <w:abstractNumId w:val="12"/>
  </w:num>
  <w:num w:numId="22" w16cid:durableId="1782410177">
    <w:abstractNumId w:val="16"/>
  </w:num>
  <w:num w:numId="23" w16cid:durableId="1732919981">
    <w:abstractNumId w:val="2"/>
  </w:num>
  <w:num w:numId="24" w16cid:durableId="1855653833">
    <w:abstractNumId w:val="6"/>
  </w:num>
  <w:num w:numId="25" w16cid:durableId="1820074557">
    <w:abstractNumId w:val="23"/>
  </w:num>
  <w:num w:numId="26" w16cid:durableId="69886922">
    <w:abstractNumId w:val="21"/>
  </w:num>
  <w:num w:numId="27" w16cid:durableId="1700818053">
    <w:abstractNumId w:val="18"/>
  </w:num>
  <w:num w:numId="28" w16cid:durableId="2020547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F2"/>
    <w:rsid w:val="00002B83"/>
    <w:rsid w:val="00003DCE"/>
    <w:rsid w:val="000067F6"/>
    <w:rsid w:val="000126A3"/>
    <w:rsid w:val="000163BE"/>
    <w:rsid w:val="00016772"/>
    <w:rsid w:val="000210EF"/>
    <w:rsid w:val="00023F8C"/>
    <w:rsid w:val="00024711"/>
    <w:rsid w:val="0002692C"/>
    <w:rsid w:val="00030D0A"/>
    <w:rsid w:val="000356B1"/>
    <w:rsid w:val="000438D2"/>
    <w:rsid w:val="00044DE3"/>
    <w:rsid w:val="00044F30"/>
    <w:rsid w:val="000452E2"/>
    <w:rsid w:val="000504AC"/>
    <w:rsid w:val="0005517B"/>
    <w:rsid w:val="000571D4"/>
    <w:rsid w:val="00070BEA"/>
    <w:rsid w:val="0007341D"/>
    <w:rsid w:val="00075C7C"/>
    <w:rsid w:val="00080AE9"/>
    <w:rsid w:val="000A1617"/>
    <w:rsid w:val="000A32F2"/>
    <w:rsid w:val="000B049D"/>
    <w:rsid w:val="000B0C40"/>
    <w:rsid w:val="000B24C4"/>
    <w:rsid w:val="000B24E4"/>
    <w:rsid w:val="000B5A98"/>
    <w:rsid w:val="000B6E51"/>
    <w:rsid w:val="000C2705"/>
    <w:rsid w:val="000C5043"/>
    <w:rsid w:val="000C547B"/>
    <w:rsid w:val="000D1D37"/>
    <w:rsid w:val="000D7BA3"/>
    <w:rsid w:val="000E6AA7"/>
    <w:rsid w:val="000F27A2"/>
    <w:rsid w:val="000F32E8"/>
    <w:rsid w:val="000F3E96"/>
    <w:rsid w:val="000F5575"/>
    <w:rsid w:val="000F5B0A"/>
    <w:rsid w:val="00100296"/>
    <w:rsid w:val="00100B75"/>
    <w:rsid w:val="00105DA1"/>
    <w:rsid w:val="001212A1"/>
    <w:rsid w:val="00122288"/>
    <w:rsid w:val="0012239F"/>
    <w:rsid w:val="00124172"/>
    <w:rsid w:val="001265F1"/>
    <w:rsid w:val="00126811"/>
    <w:rsid w:val="001300C1"/>
    <w:rsid w:val="0013294F"/>
    <w:rsid w:val="00134FC0"/>
    <w:rsid w:val="001350CF"/>
    <w:rsid w:val="00140547"/>
    <w:rsid w:val="00150948"/>
    <w:rsid w:val="001521BA"/>
    <w:rsid w:val="00156463"/>
    <w:rsid w:val="00163858"/>
    <w:rsid w:val="00165AC0"/>
    <w:rsid w:val="00175317"/>
    <w:rsid w:val="00176E17"/>
    <w:rsid w:val="00180AB6"/>
    <w:rsid w:val="00182670"/>
    <w:rsid w:val="0018598F"/>
    <w:rsid w:val="00186166"/>
    <w:rsid w:val="001938B3"/>
    <w:rsid w:val="0019757F"/>
    <w:rsid w:val="001A34B7"/>
    <w:rsid w:val="001A4ACF"/>
    <w:rsid w:val="001B017A"/>
    <w:rsid w:val="001B2771"/>
    <w:rsid w:val="001B6DF8"/>
    <w:rsid w:val="001C450C"/>
    <w:rsid w:val="001C4D76"/>
    <w:rsid w:val="001C7759"/>
    <w:rsid w:val="001D4663"/>
    <w:rsid w:val="001D4F54"/>
    <w:rsid w:val="001E04D2"/>
    <w:rsid w:val="001E0C4D"/>
    <w:rsid w:val="001E7D74"/>
    <w:rsid w:val="001F3490"/>
    <w:rsid w:val="001F39B1"/>
    <w:rsid w:val="001F71F0"/>
    <w:rsid w:val="002029CE"/>
    <w:rsid w:val="00202FC5"/>
    <w:rsid w:val="00204039"/>
    <w:rsid w:val="00217CB6"/>
    <w:rsid w:val="00222DF7"/>
    <w:rsid w:val="00222E58"/>
    <w:rsid w:val="00224CF8"/>
    <w:rsid w:val="00234252"/>
    <w:rsid w:val="00236056"/>
    <w:rsid w:val="00251FE9"/>
    <w:rsid w:val="002553F5"/>
    <w:rsid w:val="002636C8"/>
    <w:rsid w:val="00265E3A"/>
    <w:rsid w:val="00272261"/>
    <w:rsid w:val="002857F7"/>
    <w:rsid w:val="002870B2"/>
    <w:rsid w:val="00294835"/>
    <w:rsid w:val="00296B8A"/>
    <w:rsid w:val="002A23E6"/>
    <w:rsid w:val="002B45B1"/>
    <w:rsid w:val="002B4DF1"/>
    <w:rsid w:val="002B6C7A"/>
    <w:rsid w:val="002C0479"/>
    <w:rsid w:val="002C0E49"/>
    <w:rsid w:val="002C2B7E"/>
    <w:rsid w:val="002C5C39"/>
    <w:rsid w:val="002D0DE8"/>
    <w:rsid w:val="002D6506"/>
    <w:rsid w:val="002D7CE6"/>
    <w:rsid w:val="002F3AC6"/>
    <w:rsid w:val="002F5009"/>
    <w:rsid w:val="00306816"/>
    <w:rsid w:val="00307933"/>
    <w:rsid w:val="0031026C"/>
    <w:rsid w:val="003154B2"/>
    <w:rsid w:val="00317A45"/>
    <w:rsid w:val="0032100D"/>
    <w:rsid w:val="00322170"/>
    <w:rsid w:val="00341203"/>
    <w:rsid w:val="00342EB1"/>
    <w:rsid w:val="0034400F"/>
    <w:rsid w:val="003626AB"/>
    <w:rsid w:val="00367B31"/>
    <w:rsid w:val="003711BA"/>
    <w:rsid w:val="0037698C"/>
    <w:rsid w:val="00376D17"/>
    <w:rsid w:val="00395E06"/>
    <w:rsid w:val="00396F81"/>
    <w:rsid w:val="00397E22"/>
    <w:rsid w:val="003A1CC2"/>
    <w:rsid w:val="003A7497"/>
    <w:rsid w:val="003B135C"/>
    <w:rsid w:val="003B4181"/>
    <w:rsid w:val="003B47D3"/>
    <w:rsid w:val="003B760C"/>
    <w:rsid w:val="003C0F6D"/>
    <w:rsid w:val="003C1D5A"/>
    <w:rsid w:val="003E011B"/>
    <w:rsid w:val="003E2A2E"/>
    <w:rsid w:val="003F3EED"/>
    <w:rsid w:val="003F6791"/>
    <w:rsid w:val="00401683"/>
    <w:rsid w:val="00402946"/>
    <w:rsid w:val="004038D5"/>
    <w:rsid w:val="00404054"/>
    <w:rsid w:val="004144E1"/>
    <w:rsid w:val="00416BD3"/>
    <w:rsid w:val="004408EB"/>
    <w:rsid w:val="00440DC2"/>
    <w:rsid w:val="0044276D"/>
    <w:rsid w:val="0044292D"/>
    <w:rsid w:val="00444E7C"/>
    <w:rsid w:val="004458F2"/>
    <w:rsid w:val="00454EFC"/>
    <w:rsid w:val="0045721A"/>
    <w:rsid w:val="00461E44"/>
    <w:rsid w:val="00472459"/>
    <w:rsid w:val="00475E0E"/>
    <w:rsid w:val="004854AE"/>
    <w:rsid w:val="00485866"/>
    <w:rsid w:val="00485D6C"/>
    <w:rsid w:val="004935BD"/>
    <w:rsid w:val="004A3A37"/>
    <w:rsid w:val="004A5641"/>
    <w:rsid w:val="004B045A"/>
    <w:rsid w:val="004B3CF1"/>
    <w:rsid w:val="004C2C0B"/>
    <w:rsid w:val="004C6128"/>
    <w:rsid w:val="004C63AF"/>
    <w:rsid w:val="004D1308"/>
    <w:rsid w:val="004D1654"/>
    <w:rsid w:val="004D23AF"/>
    <w:rsid w:val="004D7A0C"/>
    <w:rsid w:val="004D7DE4"/>
    <w:rsid w:val="004E1E64"/>
    <w:rsid w:val="004E3626"/>
    <w:rsid w:val="004F0256"/>
    <w:rsid w:val="004F235A"/>
    <w:rsid w:val="005057AF"/>
    <w:rsid w:val="005061A8"/>
    <w:rsid w:val="00512352"/>
    <w:rsid w:val="00513C0D"/>
    <w:rsid w:val="00525582"/>
    <w:rsid w:val="00526857"/>
    <w:rsid w:val="00526BBB"/>
    <w:rsid w:val="005354A9"/>
    <w:rsid w:val="00545569"/>
    <w:rsid w:val="005602C9"/>
    <w:rsid w:val="005656B5"/>
    <w:rsid w:val="0057272B"/>
    <w:rsid w:val="005735D2"/>
    <w:rsid w:val="005764C4"/>
    <w:rsid w:val="0057742B"/>
    <w:rsid w:val="00581CBA"/>
    <w:rsid w:val="005820AD"/>
    <w:rsid w:val="00582AE6"/>
    <w:rsid w:val="00594CC1"/>
    <w:rsid w:val="005A1E25"/>
    <w:rsid w:val="005A7756"/>
    <w:rsid w:val="005B62FD"/>
    <w:rsid w:val="005B668D"/>
    <w:rsid w:val="005C1F75"/>
    <w:rsid w:val="005C7122"/>
    <w:rsid w:val="005D4038"/>
    <w:rsid w:val="005D4724"/>
    <w:rsid w:val="005D54CD"/>
    <w:rsid w:val="005D70A2"/>
    <w:rsid w:val="005D79AE"/>
    <w:rsid w:val="005E2CB9"/>
    <w:rsid w:val="005E6194"/>
    <w:rsid w:val="005E7CF6"/>
    <w:rsid w:val="00603457"/>
    <w:rsid w:val="00605C28"/>
    <w:rsid w:val="006109AC"/>
    <w:rsid w:val="00613C7E"/>
    <w:rsid w:val="00613F1C"/>
    <w:rsid w:val="006228CB"/>
    <w:rsid w:val="00623B41"/>
    <w:rsid w:val="00626F96"/>
    <w:rsid w:val="0063248D"/>
    <w:rsid w:val="0064176B"/>
    <w:rsid w:val="00644627"/>
    <w:rsid w:val="006456CD"/>
    <w:rsid w:val="0065236D"/>
    <w:rsid w:val="00655021"/>
    <w:rsid w:val="00657FEE"/>
    <w:rsid w:val="00664DF6"/>
    <w:rsid w:val="00674063"/>
    <w:rsid w:val="00681778"/>
    <w:rsid w:val="00683D9F"/>
    <w:rsid w:val="006845FE"/>
    <w:rsid w:val="00686F6B"/>
    <w:rsid w:val="00691770"/>
    <w:rsid w:val="00692E5B"/>
    <w:rsid w:val="00694036"/>
    <w:rsid w:val="006957A5"/>
    <w:rsid w:val="006A1CEA"/>
    <w:rsid w:val="006A3B67"/>
    <w:rsid w:val="006B03C8"/>
    <w:rsid w:val="006B0FD0"/>
    <w:rsid w:val="006B19EE"/>
    <w:rsid w:val="006B3E2B"/>
    <w:rsid w:val="006B754E"/>
    <w:rsid w:val="006C38A2"/>
    <w:rsid w:val="006C40DC"/>
    <w:rsid w:val="006C5D5C"/>
    <w:rsid w:val="006C745F"/>
    <w:rsid w:val="006D2068"/>
    <w:rsid w:val="006D6914"/>
    <w:rsid w:val="006E1937"/>
    <w:rsid w:val="006E7D02"/>
    <w:rsid w:val="006F2001"/>
    <w:rsid w:val="006F5C0B"/>
    <w:rsid w:val="00704798"/>
    <w:rsid w:val="00712AD2"/>
    <w:rsid w:val="0071702A"/>
    <w:rsid w:val="00723EBD"/>
    <w:rsid w:val="007261B9"/>
    <w:rsid w:val="00731A2A"/>
    <w:rsid w:val="00732ABD"/>
    <w:rsid w:val="007403EF"/>
    <w:rsid w:val="00740EAE"/>
    <w:rsid w:val="0074210C"/>
    <w:rsid w:val="0074239E"/>
    <w:rsid w:val="0074358C"/>
    <w:rsid w:val="00744393"/>
    <w:rsid w:val="00746288"/>
    <w:rsid w:val="00746AB7"/>
    <w:rsid w:val="007472C2"/>
    <w:rsid w:val="00752221"/>
    <w:rsid w:val="00755641"/>
    <w:rsid w:val="007627A3"/>
    <w:rsid w:val="00762C22"/>
    <w:rsid w:val="007730DF"/>
    <w:rsid w:val="00774993"/>
    <w:rsid w:val="007773B2"/>
    <w:rsid w:val="0078254E"/>
    <w:rsid w:val="00784D1F"/>
    <w:rsid w:val="00786876"/>
    <w:rsid w:val="007A0711"/>
    <w:rsid w:val="007A14D7"/>
    <w:rsid w:val="007A163B"/>
    <w:rsid w:val="007A52BC"/>
    <w:rsid w:val="007C5C2A"/>
    <w:rsid w:val="007D0169"/>
    <w:rsid w:val="007D13DC"/>
    <w:rsid w:val="007D290E"/>
    <w:rsid w:val="007D59C6"/>
    <w:rsid w:val="007D61F9"/>
    <w:rsid w:val="007E1553"/>
    <w:rsid w:val="007E29CD"/>
    <w:rsid w:val="007E5970"/>
    <w:rsid w:val="007E60EB"/>
    <w:rsid w:val="007F0CC1"/>
    <w:rsid w:val="00800C1E"/>
    <w:rsid w:val="008010C9"/>
    <w:rsid w:val="00814D70"/>
    <w:rsid w:val="008236D4"/>
    <w:rsid w:val="008275C7"/>
    <w:rsid w:val="00830852"/>
    <w:rsid w:val="00833286"/>
    <w:rsid w:val="00842ABC"/>
    <w:rsid w:val="0084448E"/>
    <w:rsid w:val="00844592"/>
    <w:rsid w:val="008457E9"/>
    <w:rsid w:val="00856AF4"/>
    <w:rsid w:val="008620B9"/>
    <w:rsid w:val="00865B3B"/>
    <w:rsid w:val="00874B41"/>
    <w:rsid w:val="00876143"/>
    <w:rsid w:val="00876850"/>
    <w:rsid w:val="0088519B"/>
    <w:rsid w:val="00887857"/>
    <w:rsid w:val="00887F04"/>
    <w:rsid w:val="00894CA5"/>
    <w:rsid w:val="008958F5"/>
    <w:rsid w:val="008A19FA"/>
    <w:rsid w:val="008A1C6F"/>
    <w:rsid w:val="008A7576"/>
    <w:rsid w:val="008B152D"/>
    <w:rsid w:val="008B5317"/>
    <w:rsid w:val="008B6A02"/>
    <w:rsid w:val="008C0C85"/>
    <w:rsid w:val="008D44DF"/>
    <w:rsid w:val="008D462E"/>
    <w:rsid w:val="008D50F5"/>
    <w:rsid w:val="008D69C8"/>
    <w:rsid w:val="008E5453"/>
    <w:rsid w:val="008E68B8"/>
    <w:rsid w:val="008F2132"/>
    <w:rsid w:val="008F782E"/>
    <w:rsid w:val="00900C61"/>
    <w:rsid w:val="00901B0F"/>
    <w:rsid w:val="009105CB"/>
    <w:rsid w:val="009105E0"/>
    <w:rsid w:val="00914E8D"/>
    <w:rsid w:val="00923875"/>
    <w:rsid w:val="00935864"/>
    <w:rsid w:val="00937B2A"/>
    <w:rsid w:val="009429C7"/>
    <w:rsid w:val="0095354B"/>
    <w:rsid w:val="00957DFA"/>
    <w:rsid w:val="0096240C"/>
    <w:rsid w:val="00970E91"/>
    <w:rsid w:val="00972726"/>
    <w:rsid w:val="0097617F"/>
    <w:rsid w:val="009767C6"/>
    <w:rsid w:val="00977065"/>
    <w:rsid w:val="009877D3"/>
    <w:rsid w:val="009A0E6C"/>
    <w:rsid w:val="009A1F12"/>
    <w:rsid w:val="009B0C87"/>
    <w:rsid w:val="009B1185"/>
    <w:rsid w:val="009D5240"/>
    <w:rsid w:val="009E0415"/>
    <w:rsid w:val="009F0884"/>
    <w:rsid w:val="009F294A"/>
    <w:rsid w:val="00A0195D"/>
    <w:rsid w:val="00A01FA3"/>
    <w:rsid w:val="00A06595"/>
    <w:rsid w:val="00A15A38"/>
    <w:rsid w:val="00A256F1"/>
    <w:rsid w:val="00A2707D"/>
    <w:rsid w:val="00A32EE3"/>
    <w:rsid w:val="00A43E35"/>
    <w:rsid w:val="00A475C2"/>
    <w:rsid w:val="00A545AB"/>
    <w:rsid w:val="00A608DF"/>
    <w:rsid w:val="00A718AC"/>
    <w:rsid w:val="00A72C34"/>
    <w:rsid w:val="00A7518A"/>
    <w:rsid w:val="00A75CAF"/>
    <w:rsid w:val="00A77D5B"/>
    <w:rsid w:val="00A845BE"/>
    <w:rsid w:val="00A85208"/>
    <w:rsid w:val="00A87809"/>
    <w:rsid w:val="00A92426"/>
    <w:rsid w:val="00A927B7"/>
    <w:rsid w:val="00A95A10"/>
    <w:rsid w:val="00AA1A64"/>
    <w:rsid w:val="00AA1C69"/>
    <w:rsid w:val="00AA30CE"/>
    <w:rsid w:val="00AA5688"/>
    <w:rsid w:val="00AA7368"/>
    <w:rsid w:val="00AB0E32"/>
    <w:rsid w:val="00AB6B09"/>
    <w:rsid w:val="00AC331A"/>
    <w:rsid w:val="00AD68A7"/>
    <w:rsid w:val="00AF07B7"/>
    <w:rsid w:val="00AF5706"/>
    <w:rsid w:val="00AF5FC5"/>
    <w:rsid w:val="00B06752"/>
    <w:rsid w:val="00B07DE9"/>
    <w:rsid w:val="00B1348C"/>
    <w:rsid w:val="00B13CEC"/>
    <w:rsid w:val="00B170F2"/>
    <w:rsid w:val="00B17CC7"/>
    <w:rsid w:val="00B17F74"/>
    <w:rsid w:val="00B25258"/>
    <w:rsid w:val="00B25C2F"/>
    <w:rsid w:val="00B32547"/>
    <w:rsid w:val="00B33D84"/>
    <w:rsid w:val="00B34CAB"/>
    <w:rsid w:val="00B47A7F"/>
    <w:rsid w:val="00B52947"/>
    <w:rsid w:val="00B61969"/>
    <w:rsid w:val="00B6415B"/>
    <w:rsid w:val="00B66513"/>
    <w:rsid w:val="00B7522B"/>
    <w:rsid w:val="00B76598"/>
    <w:rsid w:val="00B76741"/>
    <w:rsid w:val="00B94BF7"/>
    <w:rsid w:val="00BA55C3"/>
    <w:rsid w:val="00BA56B1"/>
    <w:rsid w:val="00BA6228"/>
    <w:rsid w:val="00BA6906"/>
    <w:rsid w:val="00BB2E38"/>
    <w:rsid w:val="00BB4355"/>
    <w:rsid w:val="00BB49B1"/>
    <w:rsid w:val="00BC37BB"/>
    <w:rsid w:val="00BC69F3"/>
    <w:rsid w:val="00BC6BB0"/>
    <w:rsid w:val="00BD0401"/>
    <w:rsid w:val="00BD1AF6"/>
    <w:rsid w:val="00BD6BEC"/>
    <w:rsid w:val="00BF48E7"/>
    <w:rsid w:val="00C002BC"/>
    <w:rsid w:val="00C04F73"/>
    <w:rsid w:val="00C05A08"/>
    <w:rsid w:val="00C06887"/>
    <w:rsid w:val="00C2753E"/>
    <w:rsid w:val="00C30526"/>
    <w:rsid w:val="00C314D7"/>
    <w:rsid w:val="00C315C5"/>
    <w:rsid w:val="00C3242E"/>
    <w:rsid w:val="00C36729"/>
    <w:rsid w:val="00C42687"/>
    <w:rsid w:val="00C42DAE"/>
    <w:rsid w:val="00C46D14"/>
    <w:rsid w:val="00C47A95"/>
    <w:rsid w:val="00C47B63"/>
    <w:rsid w:val="00C514B3"/>
    <w:rsid w:val="00C51950"/>
    <w:rsid w:val="00C51F89"/>
    <w:rsid w:val="00C5722E"/>
    <w:rsid w:val="00C6135D"/>
    <w:rsid w:val="00C813FD"/>
    <w:rsid w:val="00C82E38"/>
    <w:rsid w:val="00C83131"/>
    <w:rsid w:val="00C91705"/>
    <w:rsid w:val="00C91EAB"/>
    <w:rsid w:val="00C97D9E"/>
    <w:rsid w:val="00CA620A"/>
    <w:rsid w:val="00CA6462"/>
    <w:rsid w:val="00CB49DF"/>
    <w:rsid w:val="00CC6053"/>
    <w:rsid w:val="00CC737D"/>
    <w:rsid w:val="00CD7EAD"/>
    <w:rsid w:val="00CE0A23"/>
    <w:rsid w:val="00CE0AB4"/>
    <w:rsid w:val="00CF4B19"/>
    <w:rsid w:val="00D005FF"/>
    <w:rsid w:val="00D27A70"/>
    <w:rsid w:val="00D30ECD"/>
    <w:rsid w:val="00D30F36"/>
    <w:rsid w:val="00D321B9"/>
    <w:rsid w:val="00D32719"/>
    <w:rsid w:val="00D347AD"/>
    <w:rsid w:val="00D4300C"/>
    <w:rsid w:val="00D43482"/>
    <w:rsid w:val="00D46DAD"/>
    <w:rsid w:val="00D55802"/>
    <w:rsid w:val="00D57BE3"/>
    <w:rsid w:val="00D639EF"/>
    <w:rsid w:val="00D72FE6"/>
    <w:rsid w:val="00D82C84"/>
    <w:rsid w:val="00D8431E"/>
    <w:rsid w:val="00D85D90"/>
    <w:rsid w:val="00D90031"/>
    <w:rsid w:val="00D917CD"/>
    <w:rsid w:val="00D97E04"/>
    <w:rsid w:val="00DA09FF"/>
    <w:rsid w:val="00DA0B6F"/>
    <w:rsid w:val="00DA5CC0"/>
    <w:rsid w:val="00DB6064"/>
    <w:rsid w:val="00DB6C45"/>
    <w:rsid w:val="00DD088D"/>
    <w:rsid w:val="00DD3659"/>
    <w:rsid w:val="00DD4F12"/>
    <w:rsid w:val="00DD72D9"/>
    <w:rsid w:val="00DE26B7"/>
    <w:rsid w:val="00DE5CCE"/>
    <w:rsid w:val="00DE67A4"/>
    <w:rsid w:val="00DF3C16"/>
    <w:rsid w:val="00DF6AD7"/>
    <w:rsid w:val="00E03C5E"/>
    <w:rsid w:val="00E06835"/>
    <w:rsid w:val="00E07CF1"/>
    <w:rsid w:val="00E10281"/>
    <w:rsid w:val="00E11739"/>
    <w:rsid w:val="00E14169"/>
    <w:rsid w:val="00E16D59"/>
    <w:rsid w:val="00E200C0"/>
    <w:rsid w:val="00E24530"/>
    <w:rsid w:val="00E25340"/>
    <w:rsid w:val="00E271D5"/>
    <w:rsid w:val="00E271D7"/>
    <w:rsid w:val="00E274F1"/>
    <w:rsid w:val="00E27B3F"/>
    <w:rsid w:val="00E31D6C"/>
    <w:rsid w:val="00E338B6"/>
    <w:rsid w:val="00E4492E"/>
    <w:rsid w:val="00E47A06"/>
    <w:rsid w:val="00E55FB3"/>
    <w:rsid w:val="00E642D3"/>
    <w:rsid w:val="00E64A28"/>
    <w:rsid w:val="00E7062F"/>
    <w:rsid w:val="00E714E7"/>
    <w:rsid w:val="00E95DA5"/>
    <w:rsid w:val="00EA0F86"/>
    <w:rsid w:val="00EA23E6"/>
    <w:rsid w:val="00EA6E14"/>
    <w:rsid w:val="00EB59CC"/>
    <w:rsid w:val="00EC185F"/>
    <w:rsid w:val="00EC5B5F"/>
    <w:rsid w:val="00ED1F1C"/>
    <w:rsid w:val="00EE297C"/>
    <w:rsid w:val="00EE30B4"/>
    <w:rsid w:val="00EE36D1"/>
    <w:rsid w:val="00EE63BD"/>
    <w:rsid w:val="00EF5DFE"/>
    <w:rsid w:val="00EF6FB2"/>
    <w:rsid w:val="00EF7A26"/>
    <w:rsid w:val="00F008F5"/>
    <w:rsid w:val="00F1314C"/>
    <w:rsid w:val="00F147D6"/>
    <w:rsid w:val="00F203AB"/>
    <w:rsid w:val="00F2264C"/>
    <w:rsid w:val="00F24D60"/>
    <w:rsid w:val="00F25D21"/>
    <w:rsid w:val="00F320E9"/>
    <w:rsid w:val="00F32C0B"/>
    <w:rsid w:val="00F33906"/>
    <w:rsid w:val="00F37C5C"/>
    <w:rsid w:val="00F44176"/>
    <w:rsid w:val="00F45021"/>
    <w:rsid w:val="00F51A15"/>
    <w:rsid w:val="00F5370A"/>
    <w:rsid w:val="00F549F9"/>
    <w:rsid w:val="00F62C68"/>
    <w:rsid w:val="00F66DFC"/>
    <w:rsid w:val="00F72D42"/>
    <w:rsid w:val="00F74DAC"/>
    <w:rsid w:val="00F77C8A"/>
    <w:rsid w:val="00F84749"/>
    <w:rsid w:val="00F85402"/>
    <w:rsid w:val="00F87B50"/>
    <w:rsid w:val="00F95738"/>
    <w:rsid w:val="00F963A4"/>
    <w:rsid w:val="00F963D4"/>
    <w:rsid w:val="00F970B3"/>
    <w:rsid w:val="00FA10EA"/>
    <w:rsid w:val="00FB73D8"/>
    <w:rsid w:val="00FC0199"/>
    <w:rsid w:val="00FC2B3F"/>
    <w:rsid w:val="00FD14CC"/>
    <w:rsid w:val="00FE5B73"/>
    <w:rsid w:val="00FF3C3B"/>
    <w:rsid w:val="00FF7309"/>
    <w:rsid w:val="00FF7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52A2B"/>
  <w15:chartTrackingRefBased/>
  <w15:docId w15:val="{E7CF5F62-ADB1-4282-B5C1-69760142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2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2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40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A32F2"/>
    <w:pPr>
      <w:ind w:left="720"/>
      <w:contextualSpacing/>
    </w:pPr>
  </w:style>
  <w:style w:type="paragraph" w:styleId="Header">
    <w:name w:val="header"/>
    <w:basedOn w:val="Normal"/>
    <w:link w:val="HeaderChar"/>
    <w:uiPriority w:val="99"/>
    <w:unhideWhenUsed/>
    <w:rsid w:val="000A3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F2"/>
  </w:style>
  <w:style w:type="paragraph" w:styleId="Footer">
    <w:name w:val="footer"/>
    <w:basedOn w:val="Normal"/>
    <w:link w:val="FooterChar"/>
    <w:uiPriority w:val="99"/>
    <w:unhideWhenUsed/>
    <w:rsid w:val="000A3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F2"/>
  </w:style>
  <w:style w:type="paragraph" w:styleId="Title">
    <w:name w:val="Title"/>
    <w:basedOn w:val="Normal"/>
    <w:next w:val="Normal"/>
    <w:link w:val="TitleChar"/>
    <w:uiPriority w:val="10"/>
    <w:qFormat/>
    <w:rsid w:val="000A32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2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32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2F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17CB6"/>
    <w:rPr>
      <w:sz w:val="16"/>
      <w:szCs w:val="16"/>
    </w:rPr>
  </w:style>
  <w:style w:type="paragraph" w:styleId="CommentText">
    <w:name w:val="annotation text"/>
    <w:basedOn w:val="Normal"/>
    <w:link w:val="CommentTextChar"/>
    <w:uiPriority w:val="99"/>
    <w:unhideWhenUsed/>
    <w:rsid w:val="00217CB6"/>
    <w:pPr>
      <w:spacing w:line="240" w:lineRule="auto"/>
    </w:pPr>
    <w:rPr>
      <w:sz w:val="20"/>
      <w:szCs w:val="20"/>
    </w:rPr>
  </w:style>
  <w:style w:type="character" w:customStyle="1" w:styleId="CommentTextChar">
    <w:name w:val="Comment Text Char"/>
    <w:basedOn w:val="DefaultParagraphFont"/>
    <w:link w:val="CommentText"/>
    <w:uiPriority w:val="99"/>
    <w:rsid w:val="00217CB6"/>
    <w:rPr>
      <w:sz w:val="20"/>
      <w:szCs w:val="20"/>
    </w:rPr>
  </w:style>
  <w:style w:type="paragraph" w:styleId="CommentSubject">
    <w:name w:val="annotation subject"/>
    <w:basedOn w:val="CommentText"/>
    <w:next w:val="CommentText"/>
    <w:link w:val="CommentSubjectChar"/>
    <w:uiPriority w:val="99"/>
    <w:semiHidden/>
    <w:unhideWhenUsed/>
    <w:rsid w:val="00217CB6"/>
    <w:rPr>
      <w:b/>
      <w:bCs/>
    </w:rPr>
  </w:style>
  <w:style w:type="character" w:customStyle="1" w:styleId="CommentSubjectChar">
    <w:name w:val="Comment Subject Char"/>
    <w:basedOn w:val="CommentTextChar"/>
    <w:link w:val="CommentSubject"/>
    <w:uiPriority w:val="99"/>
    <w:semiHidden/>
    <w:rsid w:val="00217CB6"/>
    <w:rPr>
      <w:b/>
      <w:bCs/>
      <w:sz w:val="20"/>
      <w:szCs w:val="20"/>
    </w:rPr>
  </w:style>
  <w:style w:type="character" w:styleId="Hyperlink">
    <w:name w:val="Hyperlink"/>
    <w:basedOn w:val="DefaultParagraphFont"/>
    <w:uiPriority w:val="99"/>
    <w:unhideWhenUsed/>
    <w:rsid w:val="00217CB6"/>
    <w:rPr>
      <w:color w:val="0563C1" w:themeColor="hyperlink"/>
      <w:u w:val="single"/>
    </w:rPr>
  </w:style>
  <w:style w:type="character" w:styleId="UnresolvedMention">
    <w:name w:val="Unresolved Mention"/>
    <w:basedOn w:val="DefaultParagraphFont"/>
    <w:uiPriority w:val="99"/>
    <w:semiHidden/>
    <w:unhideWhenUsed/>
    <w:rsid w:val="00217CB6"/>
    <w:rPr>
      <w:color w:val="605E5C"/>
      <w:shd w:val="clear" w:color="auto" w:fill="E1DFDD"/>
    </w:rPr>
  </w:style>
  <w:style w:type="paragraph" w:styleId="NoSpacing">
    <w:name w:val="No Spacing"/>
    <w:link w:val="NoSpacingChar"/>
    <w:uiPriority w:val="1"/>
    <w:qFormat/>
    <w:rsid w:val="00F131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1314C"/>
    <w:rPr>
      <w:rFonts w:eastAsiaTheme="minorEastAsia"/>
      <w:lang w:val="en-US"/>
    </w:rPr>
  </w:style>
  <w:style w:type="paragraph" w:styleId="TOCHeading">
    <w:name w:val="TOC Heading"/>
    <w:basedOn w:val="Heading1"/>
    <w:next w:val="Normal"/>
    <w:uiPriority w:val="39"/>
    <w:unhideWhenUsed/>
    <w:qFormat/>
    <w:rsid w:val="00367B31"/>
    <w:pPr>
      <w:outlineLvl w:val="9"/>
    </w:pPr>
    <w:rPr>
      <w:lang w:val="en-US"/>
    </w:rPr>
  </w:style>
  <w:style w:type="paragraph" w:styleId="TOC1">
    <w:name w:val="toc 1"/>
    <w:basedOn w:val="Normal"/>
    <w:next w:val="Normal"/>
    <w:autoRedefine/>
    <w:uiPriority w:val="39"/>
    <w:unhideWhenUsed/>
    <w:rsid w:val="00367B31"/>
    <w:pPr>
      <w:spacing w:after="100"/>
    </w:pPr>
  </w:style>
  <w:style w:type="paragraph" w:styleId="TOC2">
    <w:name w:val="toc 2"/>
    <w:basedOn w:val="Normal"/>
    <w:next w:val="Normal"/>
    <w:autoRedefine/>
    <w:uiPriority w:val="39"/>
    <w:unhideWhenUsed/>
    <w:rsid w:val="00367B31"/>
    <w:pPr>
      <w:spacing w:after="100"/>
      <w:ind w:left="220"/>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13CEC"/>
  </w:style>
  <w:style w:type="paragraph" w:styleId="Revision">
    <w:name w:val="Revision"/>
    <w:hidden/>
    <w:uiPriority w:val="99"/>
    <w:semiHidden/>
    <w:rsid w:val="002C2B7E"/>
    <w:pPr>
      <w:spacing w:after="0" w:line="240" w:lineRule="auto"/>
    </w:pPr>
  </w:style>
  <w:style w:type="character" w:styleId="FollowedHyperlink">
    <w:name w:val="FollowedHyperlink"/>
    <w:basedOn w:val="DefaultParagraphFont"/>
    <w:uiPriority w:val="99"/>
    <w:semiHidden/>
    <w:unhideWhenUsed/>
    <w:rsid w:val="00BC6BB0"/>
    <w:rPr>
      <w:color w:val="954F72" w:themeColor="followedHyperlink"/>
      <w:u w:val="single"/>
    </w:rPr>
  </w:style>
  <w:style w:type="paragraph" w:styleId="NormalWeb">
    <w:name w:val="Normal (Web)"/>
    <w:basedOn w:val="Normal"/>
    <w:uiPriority w:val="99"/>
    <w:unhideWhenUsed/>
    <w:rsid w:val="006940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94036"/>
    <w:rPr>
      <w:i/>
      <w:iCs/>
    </w:rPr>
  </w:style>
  <w:style w:type="character" w:customStyle="1" w:styleId="Heading3Char">
    <w:name w:val="Heading 3 Char"/>
    <w:basedOn w:val="DefaultParagraphFont"/>
    <w:link w:val="Heading3"/>
    <w:uiPriority w:val="9"/>
    <w:rsid w:val="00694036"/>
    <w:rPr>
      <w:rFonts w:asciiTheme="majorHAnsi" w:eastAsiaTheme="majorEastAsia" w:hAnsiTheme="majorHAnsi" w:cstheme="majorBidi"/>
      <w:color w:val="1F3763" w:themeColor="accent1" w:themeShade="7F"/>
      <w:sz w:val="24"/>
      <w:szCs w:val="24"/>
    </w:rPr>
  </w:style>
  <w:style w:type="paragraph" w:customStyle="1" w:styleId="download">
    <w:name w:val="download"/>
    <w:basedOn w:val="Normal"/>
    <w:rsid w:val="006940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94036"/>
    <w:rPr>
      <w:b/>
      <w:bCs/>
    </w:rPr>
  </w:style>
  <w:style w:type="table" w:styleId="TableGrid">
    <w:name w:val="Table Grid"/>
    <w:basedOn w:val="TableNormal"/>
    <w:uiPriority w:val="39"/>
    <w:rsid w:val="0087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5991">
      <w:bodyDiv w:val="1"/>
      <w:marLeft w:val="0"/>
      <w:marRight w:val="0"/>
      <w:marTop w:val="0"/>
      <w:marBottom w:val="0"/>
      <w:divBdr>
        <w:top w:val="none" w:sz="0" w:space="0" w:color="auto"/>
        <w:left w:val="none" w:sz="0" w:space="0" w:color="auto"/>
        <w:bottom w:val="none" w:sz="0" w:space="0" w:color="auto"/>
        <w:right w:val="none" w:sz="0" w:space="0" w:color="auto"/>
      </w:divBdr>
    </w:div>
    <w:div w:id="155734548">
      <w:bodyDiv w:val="1"/>
      <w:marLeft w:val="0"/>
      <w:marRight w:val="0"/>
      <w:marTop w:val="0"/>
      <w:marBottom w:val="0"/>
      <w:divBdr>
        <w:top w:val="none" w:sz="0" w:space="0" w:color="auto"/>
        <w:left w:val="none" w:sz="0" w:space="0" w:color="auto"/>
        <w:bottom w:val="none" w:sz="0" w:space="0" w:color="auto"/>
        <w:right w:val="none" w:sz="0" w:space="0" w:color="auto"/>
      </w:divBdr>
    </w:div>
    <w:div w:id="253443461">
      <w:bodyDiv w:val="1"/>
      <w:marLeft w:val="0"/>
      <w:marRight w:val="0"/>
      <w:marTop w:val="0"/>
      <w:marBottom w:val="0"/>
      <w:divBdr>
        <w:top w:val="none" w:sz="0" w:space="0" w:color="auto"/>
        <w:left w:val="none" w:sz="0" w:space="0" w:color="auto"/>
        <w:bottom w:val="none" w:sz="0" w:space="0" w:color="auto"/>
        <w:right w:val="none" w:sz="0" w:space="0" w:color="auto"/>
      </w:divBdr>
    </w:div>
    <w:div w:id="424571088">
      <w:bodyDiv w:val="1"/>
      <w:marLeft w:val="0"/>
      <w:marRight w:val="0"/>
      <w:marTop w:val="0"/>
      <w:marBottom w:val="0"/>
      <w:divBdr>
        <w:top w:val="none" w:sz="0" w:space="0" w:color="auto"/>
        <w:left w:val="none" w:sz="0" w:space="0" w:color="auto"/>
        <w:bottom w:val="none" w:sz="0" w:space="0" w:color="auto"/>
        <w:right w:val="none" w:sz="0" w:space="0" w:color="auto"/>
      </w:divBdr>
    </w:div>
    <w:div w:id="560559426">
      <w:bodyDiv w:val="1"/>
      <w:marLeft w:val="0"/>
      <w:marRight w:val="0"/>
      <w:marTop w:val="0"/>
      <w:marBottom w:val="0"/>
      <w:divBdr>
        <w:top w:val="none" w:sz="0" w:space="0" w:color="auto"/>
        <w:left w:val="none" w:sz="0" w:space="0" w:color="auto"/>
        <w:bottom w:val="none" w:sz="0" w:space="0" w:color="auto"/>
        <w:right w:val="none" w:sz="0" w:space="0" w:color="auto"/>
      </w:divBdr>
    </w:div>
    <w:div w:id="567762542">
      <w:bodyDiv w:val="1"/>
      <w:marLeft w:val="0"/>
      <w:marRight w:val="0"/>
      <w:marTop w:val="0"/>
      <w:marBottom w:val="0"/>
      <w:divBdr>
        <w:top w:val="none" w:sz="0" w:space="0" w:color="auto"/>
        <w:left w:val="none" w:sz="0" w:space="0" w:color="auto"/>
        <w:bottom w:val="none" w:sz="0" w:space="0" w:color="auto"/>
        <w:right w:val="none" w:sz="0" w:space="0" w:color="auto"/>
      </w:divBdr>
    </w:div>
    <w:div w:id="571937237">
      <w:bodyDiv w:val="1"/>
      <w:marLeft w:val="0"/>
      <w:marRight w:val="0"/>
      <w:marTop w:val="0"/>
      <w:marBottom w:val="0"/>
      <w:divBdr>
        <w:top w:val="none" w:sz="0" w:space="0" w:color="auto"/>
        <w:left w:val="none" w:sz="0" w:space="0" w:color="auto"/>
        <w:bottom w:val="none" w:sz="0" w:space="0" w:color="auto"/>
        <w:right w:val="none" w:sz="0" w:space="0" w:color="auto"/>
      </w:divBdr>
    </w:div>
    <w:div w:id="620958533">
      <w:bodyDiv w:val="1"/>
      <w:marLeft w:val="0"/>
      <w:marRight w:val="0"/>
      <w:marTop w:val="0"/>
      <w:marBottom w:val="0"/>
      <w:divBdr>
        <w:top w:val="none" w:sz="0" w:space="0" w:color="auto"/>
        <w:left w:val="none" w:sz="0" w:space="0" w:color="auto"/>
        <w:bottom w:val="none" w:sz="0" w:space="0" w:color="auto"/>
        <w:right w:val="none" w:sz="0" w:space="0" w:color="auto"/>
      </w:divBdr>
    </w:div>
    <w:div w:id="680551733">
      <w:bodyDiv w:val="1"/>
      <w:marLeft w:val="0"/>
      <w:marRight w:val="0"/>
      <w:marTop w:val="0"/>
      <w:marBottom w:val="0"/>
      <w:divBdr>
        <w:top w:val="none" w:sz="0" w:space="0" w:color="auto"/>
        <w:left w:val="none" w:sz="0" w:space="0" w:color="auto"/>
        <w:bottom w:val="none" w:sz="0" w:space="0" w:color="auto"/>
        <w:right w:val="none" w:sz="0" w:space="0" w:color="auto"/>
      </w:divBdr>
    </w:div>
    <w:div w:id="781386391">
      <w:bodyDiv w:val="1"/>
      <w:marLeft w:val="0"/>
      <w:marRight w:val="0"/>
      <w:marTop w:val="0"/>
      <w:marBottom w:val="0"/>
      <w:divBdr>
        <w:top w:val="none" w:sz="0" w:space="0" w:color="auto"/>
        <w:left w:val="none" w:sz="0" w:space="0" w:color="auto"/>
        <w:bottom w:val="none" w:sz="0" w:space="0" w:color="auto"/>
        <w:right w:val="none" w:sz="0" w:space="0" w:color="auto"/>
      </w:divBdr>
    </w:div>
    <w:div w:id="796264643">
      <w:bodyDiv w:val="1"/>
      <w:marLeft w:val="0"/>
      <w:marRight w:val="0"/>
      <w:marTop w:val="0"/>
      <w:marBottom w:val="0"/>
      <w:divBdr>
        <w:top w:val="none" w:sz="0" w:space="0" w:color="auto"/>
        <w:left w:val="none" w:sz="0" w:space="0" w:color="auto"/>
        <w:bottom w:val="none" w:sz="0" w:space="0" w:color="auto"/>
        <w:right w:val="none" w:sz="0" w:space="0" w:color="auto"/>
      </w:divBdr>
    </w:div>
    <w:div w:id="839738603">
      <w:bodyDiv w:val="1"/>
      <w:marLeft w:val="0"/>
      <w:marRight w:val="0"/>
      <w:marTop w:val="0"/>
      <w:marBottom w:val="0"/>
      <w:divBdr>
        <w:top w:val="none" w:sz="0" w:space="0" w:color="auto"/>
        <w:left w:val="none" w:sz="0" w:space="0" w:color="auto"/>
        <w:bottom w:val="none" w:sz="0" w:space="0" w:color="auto"/>
        <w:right w:val="none" w:sz="0" w:space="0" w:color="auto"/>
      </w:divBdr>
    </w:div>
    <w:div w:id="882522016">
      <w:bodyDiv w:val="1"/>
      <w:marLeft w:val="0"/>
      <w:marRight w:val="0"/>
      <w:marTop w:val="0"/>
      <w:marBottom w:val="0"/>
      <w:divBdr>
        <w:top w:val="none" w:sz="0" w:space="0" w:color="auto"/>
        <w:left w:val="none" w:sz="0" w:space="0" w:color="auto"/>
        <w:bottom w:val="none" w:sz="0" w:space="0" w:color="auto"/>
        <w:right w:val="none" w:sz="0" w:space="0" w:color="auto"/>
      </w:divBdr>
    </w:div>
    <w:div w:id="922765429">
      <w:bodyDiv w:val="1"/>
      <w:marLeft w:val="0"/>
      <w:marRight w:val="0"/>
      <w:marTop w:val="0"/>
      <w:marBottom w:val="0"/>
      <w:divBdr>
        <w:top w:val="none" w:sz="0" w:space="0" w:color="auto"/>
        <w:left w:val="none" w:sz="0" w:space="0" w:color="auto"/>
        <w:bottom w:val="none" w:sz="0" w:space="0" w:color="auto"/>
        <w:right w:val="none" w:sz="0" w:space="0" w:color="auto"/>
      </w:divBdr>
    </w:div>
    <w:div w:id="1170022801">
      <w:bodyDiv w:val="1"/>
      <w:marLeft w:val="0"/>
      <w:marRight w:val="0"/>
      <w:marTop w:val="0"/>
      <w:marBottom w:val="0"/>
      <w:divBdr>
        <w:top w:val="none" w:sz="0" w:space="0" w:color="auto"/>
        <w:left w:val="none" w:sz="0" w:space="0" w:color="auto"/>
        <w:bottom w:val="none" w:sz="0" w:space="0" w:color="auto"/>
        <w:right w:val="none" w:sz="0" w:space="0" w:color="auto"/>
      </w:divBdr>
    </w:div>
    <w:div w:id="1190144788">
      <w:bodyDiv w:val="1"/>
      <w:marLeft w:val="0"/>
      <w:marRight w:val="0"/>
      <w:marTop w:val="0"/>
      <w:marBottom w:val="0"/>
      <w:divBdr>
        <w:top w:val="none" w:sz="0" w:space="0" w:color="auto"/>
        <w:left w:val="none" w:sz="0" w:space="0" w:color="auto"/>
        <w:bottom w:val="none" w:sz="0" w:space="0" w:color="auto"/>
        <w:right w:val="none" w:sz="0" w:space="0" w:color="auto"/>
      </w:divBdr>
    </w:div>
    <w:div w:id="1264876736">
      <w:bodyDiv w:val="1"/>
      <w:marLeft w:val="0"/>
      <w:marRight w:val="0"/>
      <w:marTop w:val="0"/>
      <w:marBottom w:val="0"/>
      <w:divBdr>
        <w:top w:val="none" w:sz="0" w:space="0" w:color="auto"/>
        <w:left w:val="none" w:sz="0" w:space="0" w:color="auto"/>
        <w:bottom w:val="none" w:sz="0" w:space="0" w:color="auto"/>
        <w:right w:val="none" w:sz="0" w:space="0" w:color="auto"/>
      </w:divBdr>
    </w:div>
    <w:div w:id="1309703243">
      <w:bodyDiv w:val="1"/>
      <w:marLeft w:val="0"/>
      <w:marRight w:val="0"/>
      <w:marTop w:val="0"/>
      <w:marBottom w:val="0"/>
      <w:divBdr>
        <w:top w:val="none" w:sz="0" w:space="0" w:color="auto"/>
        <w:left w:val="none" w:sz="0" w:space="0" w:color="auto"/>
        <w:bottom w:val="none" w:sz="0" w:space="0" w:color="auto"/>
        <w:right w:val="none" w:sz="0" w:space="0" w:color="auto"/>
      </w:divBdr>
    </w:div>
    <w:div w:id="1349257753">
      <w:bodyDiv w:val="1"/>
      <w:marLeft w:val="0"/>
      <w:marRight w:val="0"/>
      <w:marTop w:val="0"/>
      <w:marBottom w:val="0"/>
      <w:divBdr>
        <w:top w:val="none" w:sz="0" w:space="0" w:color="auto"/>
        <w:left w:val="none" w:sz="0" w:space="0" w:color="auto"/>
        <w:bottom w:val="none" w:sz="0" w:space="0" w:color="auto"/>
        <w:right w:val="none" w:sz="0" w:space="0" w:color="auto"/>
      </w:divBdr>
    </w:div>
    <w:div w:id="1385447224">
      <w:bodyDiv w:val="1"/>
      <w:marLeft w:val="0"/>
      <w:marRight w:val="0"/>
      <w:marTop w:val="0"/>
      <w:marBottom w:val="0"/>
      <w:divBdr>
        <w:top w:val="none" w:sz="0" w:space="0" w:color="auto"/>
        <w:left w:val="none" w:sz="0" w:space="0" w:color="auto"/>
        <w:bottom w:val="none" w:sz="0" w:space="0" w:color="auto"/>
        <w:right w:val="none" w:sz="0" w:space="0" w:color="auto"/>
      </w:divBdr>
    </w:div>
    <w:div w:id="1402676113">
      <w:bodyDiv w:val="1"/>
      <w:marLeft w:val="0"/>
      <w:marRight w:val="0"/>
      <w:marTop w:val="0"/>
      <w:marBottom w:val="0"/>
      <w:divBdr>
        <w:top w:val="none" w:sz="0" w:space="0" w:color="auto"/>
        <w:left w:val="none" w:sz="0" w:space="0" w:color="auto"/>
        <w:bottom w:val="none" w:sz="0" w:space="0" w:color="auto"/>
        <w:right w:val="none" w:sz="0" w:space="0" w:color="auto"/>
      </w:divBdr>
    </w:div>
    <w:div w:id="1410082771">
      <w:bodyDiv w:val="1"/>
      <w:marLeft w:val="0"/>
      <w:marRight w:val="0"/>
      <w:marTop w:val="0"/>
      <w:marBottom w:val="0"/>
      <w:divBdr>
        <w:top w:val="none" w:sz="0" w:space="0" w:color="auto"/>
        <w:left w:val="none" w:sz="0" w:space="0" w:color="auto"/>
        <w:bottom w:val="none" w:sz="0" w:space="0" w:color="auto"/>
        <w:right w:val="none" w:sz="0" w:space="0" w:color="auto"/>
      </w:divBdr>
    </w:div>
    <w:div w:id="1490976242">
      <w:bodyDiv w:val="1"/>
      <w:marLeft w:val="0"/>
      <w:marRight w:val="0"/>
      <w:marTop w:val="0"/>
      <w:marBottom w:val="0"/>
      <w:divBdr>
        <w:top w:val="none" w:sz="0" w:space="0" w:color="auto"/>
        <w:left w:val="none" w:sz="0" w:space="0" w:color="auto"/>
        <w:bottom w:val="none" w:sz="0" w:space="0" w:color="auto"/>
        <w:right w:val="none" w:sz="0" w:space="0" w:color="auto"/>
      </w:divBdr>
    </w:div>
    <w:div w:id="1687826337">
      <w:bodyDiv w:val="1"/>
      <w:marLeft w:val="0"/>
      <w:marRight w:val="0"/>
      <w:marTop w:val="0"/>
      <w:marBottom w:val="0"/>
      <w:divBdr>
        <w:top w:val="none" w:sz="0" w:space="0" w:color="auto"/>
        <w:left w:val="none" w:sz="0" w:space="0" w:color="auto"/>
        <w:bottom w:val="none" w:sz="0" w:space="0" w:color="auto"/>
        <w:right w:val="none" w:sz="0" w:space="0" w:color="auto"/>
      </w:divBdr>
    </w:div>
    <w:div w:id="1736463862">
      <w:bodyDiv w:val="1"/>
      <w:marLeft w:val="0"/>
      <w:marRight w:val="0"/>
      <w:marTop w:val="0"/>
      <w:marBottom w:val="0"/>
      <w:divBdr>
        <w:top w:val="none" w:sz="0" w:space="0" w:color="auto"/>
        <w:left w:val="none" w:sz="0" w:space="0" w:color="auto"/>
        <w:bottom w:val="none" w:sz="0" w:space="0" w:color="auto"/>
        <w:right w:val="none" w:sz="0" w:space="0" w:color="auto"/>
      </w:divBdr>
    </w:div>
    <w:div w:id="2035760927">
      <w:bodyDiv w:val="1"/>
      <w:marLeft w:val="0"/>
      <w:marRight w:val="0"/>
      <w:marTop w:val="0"/>
      <w:marBottom w:val="0"/>
      <w:divBdr>
        <w:top w:val="none" w:sz="0" w:space="0" w:color="auto"/>
        <w:left w:val="none" w:sz="0" w:space="0" w:color="auto"/>
        <w:bottom w:val="none" w:sz="0" w:space="0" w:color="auto"/>
        <w:right w:val="none" w:sz="0" w:space="0" w:color="auto"/>
      </w:divBdr>
    </w:div>
    <w:div w:id="2060200235">
      <w:bodyDiv w:val="1"/>
      <w:marLeft w:val="0"/>
      <w:marRight w:val="0"/>
      <w:marTop w:val="0"/>
      <w:marBottom w:val="0"/>
      <w:divBdr>
        <w:top w:val="none" w:sz="0" w:space="0" w:color="auto"/>
        <w:left w:val="none" w:sz="0" w:space="0" w:color="auto"/>
        <w:bottom w:val="none" w:sz="0" w:space="0" w:color="auto"/>
        <w:right w:val="none" w:sz="0" w:space="0" w:color="auto"/>
      </w:divBdr>
    </w:div>
    <w:div w:id="2084639491">
      <w:bodyDiv w:val="1"/>
      <w:marLeft w:val="0"/>
      <w:marRight w:val="0"/>
      <w:marTop w:val="0"/>
      <w:marBottom w:val="0"/>
      <w:divBdr>
        <w:top w:val="none" w:sz="0" w:space="0" w:color="auto"/>
        <w:left w:val="none" w:sz="0" w:space="0" w:color="auto"/>
        <w:bottom w:val="none" w:sz="0" w:space="0" w:color="auto"/>
        <w:right w:val="none" w:sz="0" w:space="0" w:color="auto"/>
      </w:divBdr>
    </w:div>
    <w:div w:id="20913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about-us/publications/australian-drinking-water-guidelin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health.gov.au/resources/publications/health-based-guidance-values-for-pfas-for-use-in-site-investigations-in-australia?utm_source=health.gov.au&amp;utm_medium=callout-auto-custom&amp;utm_campaign=digital_transformation" TargetMode="External"/><Relationship Id="rId17" Type="http://schemas.openxmlformats.org/officeDocument/2006/relationships/hyperlink" Target="https://www.pfa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health-topics/mental-health-and-suicide-prevention/about-mental-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dstandards.gov.au/publications/Pages/27th-Australian-Total-Diet-Study.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ceph.anu.edu.au/research/projects/pfas-health-study" TargetMode="External"/><Relationship Id="rId23" Type="http://schemas.openxmlformats.org/officeDocument/2006/relationships/footer" Target="footer3.xml"/><Relationship Id="rId10" Type="http://schemas.openxmlformats.org/officeDocument/2006/relationships/hyperlink" Target="https://nceph.anu.edu.au/research/projects/pfas-health-stud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fas.gov.au/news/intergovernmental-agreement-national-framework-responding-pfas-contamination-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29F7C-1DC4-4359-8A41-D756A81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Per- and Polyfluoroalkyl Substances (PFAS)</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and Polyfluoroalkyl Substances (PFAS)</dc:title>
  <dc:subject>enHealth guidance statement</dc:subject>
  <dc:creator>Australian Government Department of Health and Aged Care</dc:creator>
  <cp:keywords>Environmental health; Environmental Health Standing Committee</cp:keywords>
  <dc:description/>
  <cp:revision>2</cp:revision>
  <cp:lastPrinted>2022-12-14T06:10:00Z</cp:lastPrinted>
  <dcterms:created xsi:type="dcterms:W3CDTF">2024-02-16T01:12:00Z</dcterms:created>
  <dcterms:modified xsi:type="dcterms:W3CDTF">2024-02-16T01:12:00Z</dcterms:modified>
</cp:coreProperties>
</file>