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D4FD" w14:textId="5A1108B1" w:rsidR="00222971" w:rsidRPr="00A00705" w:rsidRDefault="00E76733" w:rsidP="00A00705">
      <w:pPr>
        <w:pStyle w:val="Header"/>
        <w:widowControl w:val="0"/>
        <w:spacing w:after="360"/>
        <w:jc w:val="center"/>
        <w:rPr>
          <w:rFonts w:cs="Arial"/>
          <w:b/>
          <w:bCs/>
          <w:iCs/>
          <w:sz w:val="24"/>
        </w:rPr>
      </w:pPr>
      <w:r>
        <w:rPr>
          <w:rFonts w:cs="Arial"/>
          <w:b/>
          <w:bCs/>
          <w:iCs/>
          <w:sz w:val="24"/>
        </w:rPr>
        <w:br/>
      </w:r>
      <w:r w:rsidR="00222971" w:rsidRPr="00E76733">
        <w:rPr>
          <w:rFonts w:cs="Arial"/>
          <w:b/>
          <w:bCs/>
          <w:iCs/>
          <w:sz w:val="24"/>
        </w:rPr>
        <w:t xml:space="preserve">Meeting of the </w:t>
      </w:r>
      <w:r w:rsidR="009658B1" w:rsidRPr="00E76733">
        <w:rPr>
          <w:rFonts w:cs="Arial"/>
          <w:b/>
          <w:bCs/>
          <w:iCs/>
          <w:sz w:val="24"/>
        </w:rPr>
        <w:t>Expert Advisory Committe</w:t>
      </w:r>
      <w:r w:rsidR="00222971" w:rsidRPr="00E76733">
        <w:rPr>
          <w:rFonts w:cs="Arial"/>
          <w:b/>
          <w:bCs/>
          <w:iCs/>
          <w:sz w:val="24"/>
        </w:rPr>
        <w:t>e</w:t>
      </w:r>
      <w:r>
        <w:rPr>
          <w:rFonts w:cs="Arial"/>
          <w:b/>
          <w:bCs/>
          <w:iCs/>
          <w:sz w:val="24"/>
        </w:rPr>
        <w:t xml:space="preserve">, </w:t>
      </w:r>
      <w:r w:rsidR="00222971" w:rsidRPr="00E76733">
        <w:rPr>
          <w:rFonts w:cs="Arial"/>
          <w:b/>
          <w:bCs/>
          <w:iCs/>
          <w:sz w:val="24"/>
        </w:rPr>
        <w:t>1</w:t>
      </w:r>
      <w:r w:rsidR="000D39F7">
        <w:rPr>
          <w:rFonts w:cs="Arial"/>
          <w:b/>
          <w:bCs/>
          <w:iCs/>
          <w:sz w:val="24"/>
        </w:rPr>
        <w:t>2</w:t>
      </w:r>
      <w:r w:rsidR="00222971" w:rsidRPr="00E76733">
        <w:rPr>
          <w:rFonts w:cs="Arial"/>
          <w:b/>
          <w:bCs/>
          <w:iCs/>
          <w:sz w:val="24"/>
        </w:rPr>
        <w:t xml:space="preserve"> </w:t>
      </w:r>
      <w:r w:rsidR="000D39F7">
        <w:rPr>
          <w:rFonts w:cs="Arial"/>
          <w:b/>
          <w:bCs/>
          <w:iCs/>
          <w:sz w:val="24"/>
        </w:rPr>
        <w:t>December</w:t>
      </w:r>
      <w:r w:rsidR="00222971" w:rsidRPr="00E76733">
        <w:rPr>
          <w:rFonts w:cs="Arial"/>
          <w:b/>
          <w:bCs/>
          <w:iCs/>
          <w:sz w:val="24"/>
        </w:rPr>
        <w:t xml:space="preserve"> 2023</w:t>
      </w:r>
    </w:p>
    <w:p w14:paraId="6E505B2C" w14:textId="76C02E73" w:rsidR="000C3991" w:rsidRPr="000C3991" w:rsidRDefault="000C3991" w:rsidP="00C14455">
      <w:pPr>
        <w:pStyle w:val="Header"/>
        <w:widowControl w:val="0"/>
        <w:jc w:val="center"/>
        <w:rPr>
          <w:rFonts w:cs="Arial"/>
          <w:b/>
          <w:bCs/>
          <w:iCs/>
          <w:color w:val="358189"/>
          <w:sz w:val="36"/>
          <w:szCs w:val="28"/>
        </w:rPr>
      </w:pPr>
      <w:r w:rsidRPr="000C3991">
        <w:rPr>
          <w:rFonts w:cs="Arial"/>
          <w:b/>
          <w:bCs/>
          <w:iCs/>
          <w:color w:val="358189"/>
          <w:sz w:val="36"/>
          <w:szCs w:val="28"/>
        </w:rPr>
        <w:t>Communique</w:t>
      </w:r>
    </w:p>
    <w:p w14:paraId="76A9C5F1" w14:textId="41AD819B" w:rsidR="006E3D5B" w:rsidRDefault="00472A55" w:rsidP="00C14455">
      <w:pPr>
        <w:widowControl w:val="0"/>
      </w:pPr>
      <w:r>
        <w:t xml:space="preserve">The </w:t>
      </w:r>
      <w:r w:rsidR="00C14455">
        <w:t>second</w:t>
      </w:r>
      <w:r>
        <w:t xml:space="preserve"> meeting of the Expert Advisory </w:t>
      </w:r>
      <w:r w:rsidR="009658B1">
        <w:t>Committee</w:t>
      </w:r>
      <w:r>
        <w:t xml:space="preserve"> (EAC) for the Scope of Practice Review took place by video conference on 1</w:t>
      </w:r>
      <w:r w:rsidR="00C14455">
        <w:t>2</w:t>
      </w:r>
      <w:r>
        <w:t xml:space="preserve"> </w:t>
      </w:r>
      <w:r w:rsidR="00C14455">
        <w:t>December</w:t>
      </w:r>
      <w:r>
        <w:t xml:space="preserve"> 2023.</w:t>
      </w:r>
    </w:p>
    <w:p w14:paraId="6F03D10F" w14:textId="6F2B8936" w:rsidR="00011914" w:rsidRDefault="00011914" w:rsidP="00C14455">
      <w:pPr>
        <w:widowControl w:val="0"/>
      </w:pPr>
      <w:r>
        <w:t>The meeting was chaired by Professor Cormac</w:t>
      </w:r>
      <w:r w:rsidR="00A81512">
        <w:t>k</w:t>
      </w:r>
      <w:r>
        <w:t xml:space="preserve"> and attended by </w:t>
      </w:r>
      <w:r w:rsidR="00C14455">
        <w:t>1</w:t>
      </w:r>
      <w:r w:rsidR="00D75EBC">
        <w:t>4</w:t>
      </w:r>
      <w:r w:rsidR="00C14455">
        <w:t xml:space="preserve"> members and 3 proxies of the</w:t>
      </w:r>
      <w:r>
        <w:t xml:space="preserve"> EAC</w:t>
      </w:r>
      <w:r w:rsidR="00C14455">
        <w:t xml:space="preserve"> </w:t>
      </w:r>
      <w:r>
        <w:t>members</w:t>
      </w:r>
      <w:r w:rsidR="00C14455">
        <w:t>hip</w:t>
      </w:r>
      <w:r>
        <w:t>.</w:t>
      </w:r>
      <w:r w:rsidR="00C14455">
        <w:t xml:space="preserve"> Two additional observers from the Royal Australian College of General Practitioners attended the meeting.</w:t>
      </w:r>
    </w:p>
    <w:p w14:paraId="320CDA7C" w14:textId="77777777" w:rsidR="008600BF" w:rsidRDefault="008600BF" w:rsidP="00C14455">
      <w:pPr>
        <w:widowControl w:val="0"/>
      </w:pPr>
      <w:r>
        <w:rPr>
          <w:rFonts w:cs="Arial"/>
          <w:b/>
          <w:bCs/>
          <w:iCs/>
          <w:color w:val="358189"/>
          <w:sz w:val="36"/>
          <w:szCs w:val="28"/>
        </w:rPr>
        <w:t>Introduction and opening remarks</w:t>
      </w:r>
    </w:p>
    <w:p w14:paraId="2E3F7B47" w14:textId="02699531" w:rsidR="008F3727" w:rsidRDefault="00C14455" w:rsidP="00C14455">
      <w:pPr>
        <w:widowControl w:val="0"/>
        <w:autoSpaceDE w:val="0"/>
        <w:autoSpaceDN w:val="0"/>
        <w:adjustRightInd w:val="0"/>
      </w:pPr>
      <w:r w:rsidRPr="00C14455">
        <w:t xml:space="preserve">The Chair welcomed attendees, acknowledged </w:t>
      </w:r>
      <w:r w:rsidR="008C0FD4">
        <w:t>the traditional owners and</w:t>
      </w:r>
      <w:r w:rsidRPr="00C14455">
        <w:t xml:space="preserve"> custodian</w:t>
      </w:r>
      <w:r w:rsidR="008C0FD4">
        <w:t>s</w:t>
      </w:r>
      <w:r w:rsidR="00205A63">
        <w:t xml:space="preserve"> </w:t>
      </w:r>
      <w:r w:rsidR="008C0FD4">
        <w:t xml:space="preserve">of the lands on which the meeting is held, paid respect to </w:t>
      </w:r>
      <w:proofErr w:type="gramStart"/>
      <w:r w:rsidR="008C0FD4">
        <w:t>elders</w:t>
      </w:r>
      <w:proofErr w:type="gramEnd"/>
      <w:r w:rsidR="008C0FD4">
        <w:t xml:space="preserve"> past, present and emerging and welcomed all First Nations people in attendance.</w:t>
      </w:r>
    </w:p>
    <w:p w14:paraId="0A9C61AC" w14:textId="3851E05D" w:rsidR="00C14455" w:rsidRPr="00C14455" w:rsidRDefault="00C14455" w:rsidP="00C14455">
      <w:pPr>
        <w:widowControl w:val="0"/>
        <w:autoSpaceDE w:val="0"/>
        <w:autoSpaceDN w:val="0"/>
        <w:adjustRightInd w:val="0"/>
      </w:pPr>
      <w:r w:rsidRPr="00C14455">
        <w:t>Members declared no new interests and endorsed with no changes the minutes of the 14 November meeting.</w:t>
      </w:r>
    </w:p>
    <w:p w14:paraId="5475B953" w14:textId="044C8856" w:rsidR="00C14455" w:rsidRPr="00C14455" w:rsidRDefault="00C14455" w:rsidP="00C14455">
      <w:pPr>
        <w:pStyle w:val="Heading2"/>
        <w:keepNext w:val="0"/>
        <w:widowControl w:val="0"/>
        <w:spacing w:before="0"/>
      </w:pPr>
      <w:r>
        <w:t>P</w:t>
      </w:r>
      <w:r w:rsidRPr="00C14455">
        <w:t xml:space="preserve">hase 1 Emerging </w:t>
      </w:r>
      <w:r w:rsidR="00046697">
        <w:t>t</w:t>
      </w:r>
      <w:r w:rsidRPr="00C14455">
        <w:t>hemes</w:t>
      </w:r>
    </w:p>
    <w:p w14:paraId="43538669" w14:textId="38F14A34" w:rsidR="00C14455" w:rsidRPr="00046697" w:rsidRDefault="00C14455" w:rsidP="00C14455">
      <w:pPr>
        <w:pStyle w:val="Heading2"/>
        <w:keepNext w:val="0"/>
        <w:widowControl w:val="0"/>
        <w:spacing w:after="120"/>
        <w:rPr>
          <w:rFonts w:cs="Times New Roman"/>
          <w:b w:val="0"/>
          <w:bCs w:val="0"/>
          <w:iCs w:val="0"/>
          <w:color w:val="000000" w:themeColor="text1"/>
          <w:sz w:val="22"/>
          <w:szCs w:val="24"/>
        </w:rPr>
      </w:pPr>
      <w:r w:rsidRPr="00046697">
        <w:rPr>
          <w:rFonts w:cs="Times New Roman"/>
          <w:b w:val="0"/>
          <w:bCs w:val="0"/>
          <w:iCs w:val="0"/>
          <w:color w:val="000000" w:themeColor="text1"/>
          <w:sz w:val="22"/>
          <w:szCs w:val="24"/>
        </w:rPr>
        <w:t>The Chair indicated that it had been encouraging to observe the level of consensus emerging from the first phase of consultations.</w:t>
      </w:r>
    </w:p>
    <w:p w14:paraId="76583B24" w14:textId="278D24C9" w:rsidR="00C14455" w:rsidRPr="00046697" w:rsidRDefault="00C14455" w:rsidP="00046697">
      <w:pPr>
        <w:widowControl w:val="0"/>
        <w:autoSpaceDE w:val="0"/>
        <w:autoSpaceDN w:val="0"/>
        <w:adjustRightInd w:val="0"/>
      </w:pPr>
      <w:r w:rsidRPr="00046697">
        <w:t>The Chair introduced members to the five key themes that had emerged in relation to the barriers to health practitioners working to their full scope of practice in primary care through the first phase of consultation</w:t>
      </w:r>
      <w:r w:rsidR="00924A04">
        <w:t xml:space="preserve">. These themes form the basis of </w:t>
      </w:r>
      <w:r w:rsidR="00B77BE3">
        <w:t>Issues Paper 1</w:t>
      </w:r>
      <w:r w:rsidR="00A00705">
        <w:t>.</w:t>
      </w:r>
    </w:p>
    <w:p w14:paraId="119475EF" w14:textId="5C3EAB93" w:rsidR="00046697" w:rsidRPr="00B77BE3" w:rsidRDefault="00C14455" w:rsidP="00B77BE3">
      <w:pPr>
        <w:pStyle w:val="ListParagraph"/>
        <w:widowControl w:val="0"/>
        <w:numPr>
          <w:ilvl w:val="0"/>
          <w:numId w:val="16"/>
        </w:numPr>
        <w:autoSpaceDE w:val="0"/>
        <w:autoSpaceDN w:val="0"/>
        <w:adjustRightInd w:val="0"/>
        <w:rPr>
          <w:b/>
          <w:bCs/>
        </w:rPr>
      </w:pPr>
      <w:r w:rsidRPr="00B77BE3">
        <w:rPr>
          <w:b/>
          <w:bCs/>
        </w:rPr>
        <w:t>Funding policy</w:t>
      </w:r>
    </w:p>
    <w:p w14:paraId="31E1BB7B" w14:textId="0E440612" w:rsidR="00C14455" w:rsidRPr="00046697" w:rsidRDefault="00D75EBC" w:rsidP="00046697">
      <w:pPr>
        <w:widowControl w:val="0"/>
        <w:autoSpaceDE w:val="0"/>
        <w:autoSpaceDN w:val="0"/>
        <w:adjustRightInd w:val="0"/>
      </w:pPr>
      <w:r>
        <w:t>T</w:t>
      </w:r>
      <w:r w:rsidR="00C14455" w:rsidRPr="00046697">
        <w:t>he mechanism for payment</w:t>
      </w:r>
      <w:r w:rsidR="00B51862">
        <w:t xml:space="preserve">, </w:t>
      </w:r>
      <w:proofErr w:type="gramStart"/>
      <w:r w:rsidR="00B51862">
        <w:t>i.e.</w:t>
      </w:r>
      <w:proofErr w:type="gramEnd"/>
      <w:r w:rsidR="00B51862">
        <w:t xml:space="preserve"> fee for service, </w:t>
      </w:r>
      <w:r w:rsidR="00C14455" w:rsidRPr="00046697">
        <w:t xml:space="preserve">through the Medical Benefits Schedule (MBS) </w:t>
      </w:r>
      <w:r w:rsidR="00B51862">
        <w:t>was frequently</w:t>
      </w:r>
      <w:r w:rsidR="00C14455" w:rsidRPr="00046697">
        <w:t xml:space="preserve"> raised </w:t>
      </w:r>
      <w:r w:rsidR="00B51862">
        <w:t xml:space="preserve">as an </w:t>
      </w:r>
      <w:r w:rsidR="00C14455" w:rsidRPr="00046697">
        <w:t xml:space="preserve">issue impacting </w:t>
      </w:r>
      <w:r w:rsidR="00B51862">
        <w:t xml:space="preserve">on access to </w:t>
      </w:r>
      <w:r w:rsidR="00C14455" w:rsidRPr="00046697">
        <w:t xml:space="preserve">multidisciplinary care teams and </w:t>
      </w:r>
      <w:r w:rsidR="00B51862">
        <w:t>a</w:t>
      </w:r>
      <w:r w:rsidR="00C14455" w:rsidRPr="00046697">
        <w:t xml:space="preserve"> significant barrier </w:t>
      </w:r>
      <w:r w:rsidR="00B51862">
        <w:t xml:space="preserve">to </w:t>
      </w:r>
      <w:r w:rsidR="00C14455" w:rsidRPr="00046697">
        <w:t>health professionals operating at full scope of practice.</w:t>
      </w:r>
    </w:p>
    <w:p w14:paraId="3BE22AA3" w14:textId="4F3914F9" w:rsidR="00C14455" w:rsidRPr="00046697" w:rsidRDefault="00C14455" w:rsidP="00046697">
      <w:pPr>
        <w:widowControl w:val="0"/>
        <w:autoSpaceDE w:val="0"/>
        <w:autoSpaceDN w:val="0"/>
        <w:adjustRightInd w:val="0"/>
      </w:pPr>
      <w:r w:rsidRPr="00046697">
        <w:t xml:space="preserve">He described several examples of different </w:t>
      </w:r>
      <w:r w:rsidR="00A06858">
        <w:t xml:space="preserve">funding and payment </w:t>
      </w:r>
      <w:r w:rsidRPr="00046697">
        <w:t>mechanisms to the traditional fee for service payment</w:t>
      </w:r>
      <w:r w:rsidR="00B51862">
        <w:t>, including those being introduced as part of Strengthening Medicare reforms.</w:t>
      </w:r>
    </w:p>
    <w:p w14:paraId="316EF81C" w14:textId="0AE535C9" w:rsidR="00046697" w:rsidRPr="00B77BE3" w:rsidRDefault="00C14455" w:rsidP="00B77BE3">
      <w:pPr>
        <w:pStyle w:val="ListParagraph"/>
        <w:widowControl w:val="0"/>
        <w:numPr>
          <w:ilvl w:val="0"/>
          <w:numId w:val="16"/>
        </w:numPr>
        <w:autoSpaceDE w:val="0"/>
        <w:autoSpaceDN w:val="0"/>
        <w:adjustRightInd w:val="0"/>
        <w:rPr>
          <w:b/>
          <w:bCs/>
        </w:rPr>
      </w:pPr>
      <w:r w:rsidRPr="00B77BE3">
        <w:rPr>
          <w:b/>
          <w:bCs/>
        </w:rPr>
        <w:t>Technology</w:t>
      </w:r>
    </w:p>
    <w:p w14:paraId="6E8A7798" w14:textId="62A99224" w:rsidR="00C14455" w:rsidRPr="00046697" w:rsidRDefault="00046697" w:rsidP="00046697">
      <w:pPr>
        <w:widowControl w:val="0"/>
        <w:autoSpaceDE w:val="0"/>
        <w:autoSpaceDN w:val="0"/>
        <w:adjustRightInd w:val="0"/>
      </w:pPr>
      <w:r>
        <w:t>T</w:t>
      </w:r>
      <w:r w:rsidR="00C14455" w:rsidRPr="00046697">
        <w:t>he Chair described how the ability to share information through digital technology in real time is an important enabler for multidisciplinary care teams working to their full scope of practice.</w:t>
      </w:r>
    </w:p>
    <w:p w14:paraId="511AEDE4" w14:textId="1E58525C" w:rsidR="00C14455" w:rsidRPr="00046697" w:rsidRDefault="00C14455" w:rsidP="00046697">
      <w:pPr>
        <w:widowControl w:val="0"/>
        <w:autoSpaceDE w:val="0"/>
        <w:autoSpaceDN w:val="0"/>
        <w:adjustRightInd w:val="0"/>
      </w:pPr>
      <w:r w:rsidRPr="00046697">
        <w:t xml:space="preserve">Members raised the need for state based employed professionals having visibility of records, particularly in a rural context, or in certain jurisdictions or professions. They described the </w:t>
      </w:r>
      <w:r w:rsidR="00B51862">
        <w:t xml:space="preserve">potential </w:t>
      </w:r>
      <w:r w:rsidRPr="00046697">
        <w:t>value of digital technology, such as the My Health Record, in providing patient autonomy.</w:t>
      </w:r>
    </w:p>
    <w:p w14:paraId="11251E6B" w14:textId="77777777" w:rsidR="00C14455" w:rsidRPr="00046697" w:rsidRDefault="00C14455" w:rsidP="00046697">
      <w:pPr>
        <w:widowControl w:val="0"/>
        <w:autoSpaceDE w:val="0"/>
        <w:autoSpaceDN w:val="0"/>
        <w:adjustRightInd w:val="0"/>
      </w:pPr>
      <w:r w:rsidRPr="00046697">
        <w:lastRenderedPageBreak/>
        <w:t>The universality of access by profession and jurisdiction was also discussed.</w:t>
      </w:r>
    </w:p>
    <w:p w14:paraId="3289C9DE" w14:textId="5312D017" w:rsidR="00046697" w:rsidRPr="00B77BE3" w:rsidRDefault="00C14455" w:rsidP="00B77BE3">
      <w:pPr>
        <w:pStyle w:val="ListParagraph"/>
        <w:widowControl w:val="0"/>
        <w:numPr>
          <w:ilvl w:val="0"/>
          <w:numId w:val="16"/>
        </w:numPr>
        <w:autoSpaceDE w:val="0"/>
        <w:autoSpaceDN w:val="0"/>
        <w:adjustRightInd w:val="0"/>
        <w:rPr>
          <w:b/>
          <w:bCs/>
        </w:rPr>
      </w:pPr>
      <w:r w:rsidRPr="00B77BE3">
        <w:rPr>
          <w:b/>
          <w:bCs/>
        </w:rPr>
        <w:t>Employer practices and setting</w:t>
      </w:r>
      <w:r w:rsidR="00046697" w:rsidRPr="00B77BE3">
        <w:rPr>
          <w:b/>
          <w:bCs/>
        </w:rPr>
        <w:t>s</w:t>
      </w:r>
    </w:p>
    <w:p w14:paraId="580CB980" w14:textId="3D5C60C0" w:rsidR="00C14455" w:rsidRPr="00046697" w:rsidRDefault="00046697" w:rsidP="00046697">
      <w:pPr>
        <w:widowControl w:val="0"/>
        <w:autoSpaceDE w:val="0"/>
        <w:autoSpaceDN w:val="0"/>
        <w:adjustRightInd w:val="0"/>
      </w:pPr>
      <w:r w:rsidRPr="00046697">
        <w:rPr>
          <w:sz w:val="24"/>
        </w:rPr>
        <w:t>T</w:t>
      </w:r>
      <w:r w:rsidR="00C14455" w:rsidRPr="00046697">
        <w:rPr>
          <w:sz w:val="24"/>
        </w:rPr>
        <w:t>he</w:t>
      </w:r>
      <w:r w:rsidR="00C14455" w:rsidRPr="00046697">
        <w:t xml:space="preserve"> Chair provided an overview of </w:t>
      </w:r>
      <w:r w:rsidR="00B51862">
        <w:t xml:space="preserve">the </w:t>
      </w:r>
      <w:r w:rsidR="00C14455" w:rsidRPr="00046697">
        <w:t>employer practices and settings</w:t>
      </w:r>
      <w:r w:rsidR="00B51862">
        <w:t xml:space="preserve"> theme</w:t>
      </w:r>
      <w:r w:rsidR="00C14455" w:rsidRPr="00046697">
        <w:t>.</w:t>
      </w:r>
    </w:p>
    <w:p w14:paraId="7B353A0A" w14:textId="53D25649" w:rsidR="00C14455" w:rsidRPr="00046697" w:rsidRDefault="00C14455" w:rsidP="00046697">
      <w:pPr>
        <w:widowControl w:val="0"/>
        <w:autoSpaceDE w:val="0"/>
        <w:autoSpaceDN w:val="0"/>
        <w:adjustRightInd w:val="0"/>
      </w:pPr>
      <w:r w:rsidRPr="00046697">
        <w:t>Discussion took place on the topics of:</w:t>
      </w:r>
    </w:p>
    <w:p w14:paraId="440089F8" w14:textId="0C030C3D" w:rsidR="00C14455" w:rsidRPr="00046697" w:rsidRDefault="00C14455" w:rsidP="00C14455">
      <w:pPr>
        <w:pStyle w:val="ListParagraph"/>
        <w:widowControl w:val="0"/>
        <w:numPr>
          <w:ilvl w:val="0"/>
          <w:numId w:val="12"/>
        </w:numPr>
        <w:spacing w:before="0" w:after="0" w:line="240" w:lineRule="auto"/>
        <w:contextualSpacing w:val="0"/>
        <w:rPr>
          <w:rFonts w:cs="Arial"/>
        </w:rPr>
      </w:pPr>
      <w:r w:rsidRPr="00046697">
        <w:rPr>
          <w:rFonts w:cs="Arial"/>
        </w:rPr>
        <w:t xml:space="preserve">the interplay between </w:t>
      </w:r>
      <w:r w:rsidR="00B51862">
        <w:rPr>
          <w:rFonts w:cs="Arial"/>
        </w:rPr>
        <w:t xml:space="preserve">local </w:t>
      </w:r>
      <w:r w:rsidRPr="00046697">
        <w:rPr>
          <w:rFonts w:cs="Arial"/>
        </w:rPr>
        <w:t xml:space="preserve">credentialling and </w:t>
      </w:r>
      <w:r w:rsidR="00B51862">
        <w:rPr>
          <w:rFonts w:cs="Arial"/>
        </w:rPr>
        <w:t xml:space="preserve">national </w:t>
      </w:r>
      <w:r w:rsidRPr="00046697">
        <w:rPr>
          <w:rFonts w:cs="Arial"/>
        </w:rPr>
        <w:t>registration standards</w:t>
      </w:r>
    </w:p>
    <w:p w14:paraId="63B9BE24" w14:textId="77777777" w:rsidR="00C14455" w:rsidRPr="00046697" w:rsidRDefault="00C14455" w:rsidP="00C14455">
      <w:pPr>
        <w:pStyle w:val="ListParagraph"/>
        <w:widowControl w:val="0"/>
        <w:numPr>
          <w:ilvl w:val="0"/>
          <w:numId w:val="12"/>
        </w:numPr>
        <w:spacing w:before="0" w:after="0" w:line="240" w:lineRule="auto"/>
        <w:contextualSpacing w:val="0"/>
        <w:rPr>
          <w:rFonts w:cs="Arial"/>
        </w:rPr>
      </w:pPr>
      <w:r w:rsidRPr="00046697">
        <w:rPr>
          <w:rFonts w:cs="Arial"/>
        </w:rPr>
        <w:t>the lack of harmonisation across states and territories, individual practices and care settings</w:t>
      </w:r>
    </w:p>
    <w:p w14:paraId="67C05D1E" w14:textId="77777777" w:rsidR="00C14455" w:rsidRPr="00046697" w:rsidRDefault="00C14455" w:rsidP="00C14455">
      <w:pPr>
        <w:pStyle w:val="ListParagraph"/>
        <w:widowControl w:val="0"/>
        <w:numPr>
          <w:ilvl w:val="0"/>
          <w:numId w:val="12"/>
        </w:numPr>
        <w:spacing w:before="0" w:after="0" w:line="240" w:lineRule="auto"/>
        <w:contextualSpacing w:val="0"/>
        <w:rPr>
          <w:rFonts w:cs="Arial"/>
        </w:rPr>
      </w:pPr>
      <w:r w:rsidRPr="00046697">
        <w:rPr>
          <w:rFonts w:cs="Arial"/>
        </w:rPr>
        <w:t>the importance of building trust and confidence in the community and in multidisciplinary teams</w:t>
      </w:r>
    </w:p>
    <w:p w14:paraId="5009DC2B" w14:textId="7F349CA6" w:rsidR="006C36CC" w:rsidRPr="00A00705" w:rsidRDefault="00B51862" w:rsidP="00A00705">
      <w:pPr>
        <w:pStyle w:val="ListParagraph"/>
        <w:widowControl w:val="0"/>
        <w:numPr>
          <w:ilvl w:val="0"/>
          <w:numId w:val="12"/>
        </w:numPr>
        <w:spacing w:before="0" w:after="240" w:line="240" w:lineRule="auto"/>
        <w:ind w:left="714" w:hanging="357"/>
        <w:contextualSpacing w:val="0"/>
        <w:rPr>
          <w:rFonts w:cs="Arial"/>
        </w:rPr>
      </w:pPr>
      <w:r>
        <w:rPr>
          <w:rFonts w:cs="Arial"/>
        </w:rPr>
        <w:t>clinical governance</w:t>
      </w:r>
      <w:r w:rsidR="00A06858">
        <w:rPr>
          <w:rFonts w:cs="Arial"/>
        </w:rPr>
        <w:t xml:space="preserve"> mechanisms for </w:t>
      </w:r>
      <w:r w:rsidR="00C14455" w:rsidRPr="00046697">
        <w:rPr>
          <w:rFonts w:cs="Arial"/>
        </w:rPr>
        <w:t xml:space="preserve">quality and safety </w:t>
      </w:r>
      <w:r w:rsidR="00A06858">
        <w:rPr>
          <w:rFonts w:cs="Arial"/>
        </w:rPr>
        <w:t>in the primary care sector.</w:t>
      </w:r>
    </w:p>
    <w:p w14:paraId="3537694D" w14:textId="0D1C7E89" w:rsidR="00046697" w:rsidRPr="00B77BE3" w:rsidRDefault="00C14455" w:rsidP="00B77BE3">
      <w:pPr>
        <w:pStyle w:val="ListParagraph"/>
        <w:widowControl w:val="0"/>
        <w:numPr>
          <w:ilvl w:val="0"/>
          <w:numId w:val="16"/>
        </w:numPr>
        <w:autoSpaceDE w:val="0"/>
        <w:autoSpaceDN w:val="0"/>
        <w:adjustRightInd w:val="0"/>
        <w:rPr>
          <w:b/>
          <w:bCs/>
        </w:rPr>
      </w:pPr>
      <w:r w:rsidRPr="00B77BE3">
        <w:rPr>
          <w:b/>
          <w:bCs/>
        </w:rPr>
        <w:t>Legislation and regulation</w:t>
      </w:r>
    </w:p>
    <w:p w14:paraId="0DC05DB0" w14:textId="6A540B03" w:rsidR="00C14455" w:rsidRPr="00046697" w:rsidRDefault="00C14455" w:rsidP="00046697">
      <w:pPr>
        <w:widowControl w:val="0"/>
        <w:autoSpaceDE w:val="0"/>
        <w:autoSpaceDN w:val="0"/>
        <w:adjustRightInd w:val="0"/>
      </w:pPr>
      <w:r w:rsidRPr="00046697">
        <w:t>Discussion focused on the merits, or otherwise, of endorsements, with a diversity of views presented.</w:t>
      </w:r>
    </w:p>
    <w:p w14:paraId="27D6DBBE" w14:textId="49C8640C" w:rsidR="00C14455" w:rsidRPr="00046697" w:rsidRDefault="00C14455" w:rsidP="00046697">
      <w:pPr>
        <w:widowControl w:val="0"/>
        <w:autoSpaceDE w:val="0"/>
        <w:autoSpaceDN w:val="0"/>
        <w:adjustRightInd w:val="0"/>
      </w:pPr>
      <w:r w:rsidRPr="00046697">
        <w:t>Members also focused on the barriers to working to full scope of practice posed by the state and territory Drugs and Poisons Acts, and the ne</w:t>
      </w:r>
      <w:r w:rsidR="00B51862">
        <w:t>ed</w:t>
      </w:r>
      <w:r w:rsidRPr="00046697">
        <w:t xml:space="preserve"> for harmonisation.</w:t>
      </w:r>
    </w:p>
    <w:p w14:paraId="5D9876BB" w14:textId="1F6763B5" w:rsidR="00046697" w:rsidRPr="006C36CC" w:rsidRDefault="00C14455" w:rsidP="006C36CC">
      <w:pPr>
        <w:pStyle w:val="ListParagraph"/>
        <w:widowControl w:val="0"/>
        <w:numPr>
          <w:ilvl w:val="0"/>
          <w:numId w:val="16"/>
        </w:numPr>
        <w:autoSpaceDE w:val="0"/>
        <w:autoSpaceDN w:val="0"/>
        <w:adjustRightInd w:val="0"/>
        <w:rPr>
          <w:b/>
          <w:bCs/>
        </w:rPr>
      </w:pPr>
      <w:r w:rsidRPr="006C36CC">
        <w:rPr>
          <w:b/>
          <w:bCs/>
        </w:rPr>
        <w:t>Education and training</w:t>
      </w:r>
    </w:p>
    <w:p w14:paraId="78B8C157" w14:textId="27B2F8C7" w:rsidR="00C14455" w:rsidRPr="00046697" w:rsidRDefault="00046697" w:rsidP="00046697">
      <w:pPr>
        <w:widowControl w:val="0"/>
        <w:autoSpaceDE w:val="0"/>
        <w:autoSpaceDN w:val="0"/>
        <w:adjustRightInd w:val="0"/>
      </w:pPr>
      <w:r>
        <w:t>A</w:t>
      </w:r>
      <w:r w:rsidR="00C14455" w:rsidRPr="00046697">
        <w:t xml:space="preserve">ll </w:t>
      </w:r>
      <w:r w:rsidR="006C36CC">
        <w:t xml:space="preserve">participants </w:t>
      </w:r>
      <w:r w:rsidR="00C14455" w:rsidRPr="00046697">
        <w:t>agreed that trust and confidence in relation to the education and training of health professionals was a</w:t>
      </w:r>
      <w:r w:rsidR="00A06858">
        <w:t>n</w:t>
      </w:r>
      <w:r w:rsidR="00C14455" w:rsidRPr="00046697">
        <w:t xml:space="preserve"> important issue for consumers, teams and clinicians. Potential contributors to that confidence included more opportunities for different specialisations and rotations across health care professions through the primary care setting, harmonisation across jurisdictions, and </w:t>
      </w:r>
      <w:r w:rsidR="00A06858">
        <w:t xml:space="preserve">more </w:t>
      </w:r>
      <w:r w:rsidR="00C14455" w:rsidRPr="00046697">
        <w:t>standardisation of interprofessional learning and training.</w:t>
      </w:r>
    </w:p>
    <w:p w14:paraId="62DE2515" w14:textId="2E262256" w:rsidR="00C14455" w:rsidRPr="00C14455" w:rsidRDefault="00C14455" w:rsidP="00C14455">
      <w:pPr>
        <w:pStyle w:val="Heading2"/>
        <w:keepNext w:val="0"/>
        <w:widowControl w:val="0"/>
        <w:spacing w:before="0"/>
      </w:pPr>
      <w:r w:rsidRPr="00C14455">
        <w:t xml:space="preserve">Draft </w:t>
      </w:r>
      <w:r w:rsidR="00046697">
        <w:t>i</w:t>
      </w:r>
      <w:r w:rsidRPr="00C14455">
        <w:t xml:space="preserve">ssues </w:t>
      </w:r>
      <w:r w:rsidR="00046697">
        <w:t>paper</w:t>
      </w:r>
    </w:p>
    <w:p w14:paraId="100554EB" w14:textId="17FEAAA9" w:rsidR="00C14455" w:rsidRPr="00046697" w:rsidRDefault="00C14455" w:rsidP="00C14455">
      <w:pPr>
        <w:pStyle w:val="ListParagraph"/>
        <w:widowControl w:val="0"/>
        <w:autoSpaceDE w:val="0"/>
        <w:autoSpaceDN w:val="0"/>
        <w:adjustRightInd w:val="0"/>
        <w:ind w:left="0"/>
      </w:pPr>
      <w:r w:rsidRPr="00046697">
        <w:t>The Chair presented an overview of the structure of Issues Paper 1, including a summary of the evidence and consultation noting that discussion of emerging themes and questions arising from this would be the subject of further consultation.</w:t>
      </w:r>
    </w:p>
    <w:p w14:paraId="5494B793" w14:textId="0D450528" w:rsidR="00C14455" w:rsidRPr="00046697" w:rsidRDefault="00C14455" w:rsidP="00046697">
      <w:pPr>
        <w:pStyle w:val="Heading2"/>
        <w:keepNext w:val="0"/>
        <w:widowControl w:val="0"/>
        <w:spacing w:before="0"/>
      </w:pPr>
      <w:r w:rsidRPr="00C14455">
        <w:t xml:space="preserve">Phase 2 </w:t>
      </w:r>
      <w:r w:rsidR="00046697">
        <w:t>c</w:t>
      </w:r>
      <w:r w:rsidRPr="00C14455">
        <w:t>onsultation approach</w:t>
      </w:r>
    </w:p>
    <w:p w14:paraId="68535F50" w14:textId="632E050C" w:rsidR="00C14455" w:rsidRPr="00046697" w:rsidRDefault="005134B6" w:rsidP="00046697">
      <w:pPr>
        <w:pStyle w:val="ListParagraph"/>
        <w:widowControl w:val="0"/>
        <w:autoSpaceDE w:val="0"/>
        <w:autoSpaceDN w:val="0"/>
        <w:adjustRightInd w:val="0"/>
        <w:ind w:left="0"/>
      </w:pPr>
      <w:r>
        <w:t>Members were</w:t>
      </w:r>
      <w:r w:rsidR="00C14455" w:rsidRPr="00046697">
        <w:t xml:space="preserve"> provided </w:t>
      </w:r>
      <w:r>
        <w:t xml:space="preserve">with </w:t>
      </w:r>
      <w:r w:rsidR="00C14455" w:rsidRPr="00046697">
        <w:t>an overview of the Phase 2 national consultation program, highlighting:</w:t>
      </w:r>
    </w:p>
    <w:p w14:paraId="617C62E4" w14:textId="2FDE1300" w:rsidR="00C14455" w:rsidRPr="00046697" w:rsidRDefault="00C14455" w:rsidP="00046697">
      <w:pPr>
        <w:pStyle w:val="ListParagraph"/>
        <w:widowControl w:val="0"/>
        <w:numPr>
          <w:ilvl w:val="0"/>
          <w:numId w:val="15"/>
        </w:numPr>
        <w:autoSpaceDE w:val="0"/>
        <w:autoSpaceDN w:val="0"/>
        <w:adjustRightInd w:val="0"/>
      </w:pPr>
      <w:r w:rsidRPr="00046697">
        <w:t>the release of Issues Paper 1 and call for submissions on 23 January 2024</w:t>
      </w:r>
    </w:p>
    <w:p w14:paraId="7BEAB511" w14:textId="77777777" w:rsidR="00C14455" w:rsidRPr="00046697" w:rsidRDefault="00C14455" w:rsidP="00046697">
      <w:pPr>
        <w:pStyle w:val="ListParagraph"/>
        <w:widowControl w:val="0"/>
        <w:numPr>
          <w:ilvl w:val="0"/>
          <w:numId w:val="14"/>
        </w:numPr>
        <w:autoSpaceDE w:val="0"/>
        <w:autoSpaceDN w:val="0"/>
        <w:adjustRightInd w:val="0"/>
      </w:pPr>
      <w:r w:rsidRPr="00046697">
        <w:t>a national roadshow of stakeholder forums across all state and territory capitals through February and early March</w:t>
      </w:r>
    </w:p>
    <w:p w14:paraId="5D020D84" w14:textId="7AF0816C" w:rsidR="00C14455" w:rsidRPr="00046697" w:rsidRDefault="00C14455" w:rsidP="00A00705">
      <w:pPr>
        <w:pStyle w:val="ListParagraph"/>
        <w:widowControl w:val="0"/>
        <w:numPr>
          <w:ilvl w:val="0"/>
          <w:numId w:val="14"/>
        </w:numPr>
        <w:autoSpaceDE w:val="0"/>
        <w:autoSpaceDN w:val="0"/>
        <w:adjustRightInd w:val="0"/>
        <w:spacing w:after="240"/>
        <w:ind w:left="714" w:hanging="357"/>
        <w:contextualSpacing w:val="0"/>
      </w:pPr>
      <w:r w:rsidRPr="00046697">
        <w:t>the public consultation survey opening on 23 January.</w:t>
      </w:r>
    </w:p>
    <w:p w14:paraId="32CD7984" w14:textId="77777777" w:rsidR="00C14455" w:rsidRPr="00046697" w:rsidRDefault="00C14455" w:rsidP="00046697">
      <w:pPr>
        <w:pStyle w:val="ListParagraph"/>
        <w:widowControl w:val="0"/>
        <w:autoSpaceDE w:val="0"/>
        <w:autoSpaceDN w:val="0"/>
        <w:adjustRightInd w:val="0"/>
        <w:ind w:left="0"/>
      </w:pPr>
      <w:r w:rsidRPr="00046697">
        <w:t>One member queried how rural and remote communities would be included. It was noted that additional consultations would be held with rural and remote organisations.</w:t>
      </w:r>
    </w:p>
    <w:p w14:paraId="0FBB7A66" w14:textId="4B72F9FC" w:rsidR="00C14455" w:rsidRPr="00C14455" w:rsidRDefault="00C14455" w:rsidP="00C14455">
      <w:pPr>
        <w:pStyle w:val="Heading2"/>
        <w:keepNext w:val="0"/>
        <w:widowControl w:val="0"/>
        <w:spacing w:before="0"/>
      </w:pPr>
      <w:r w:rsidRPr="00C14455">
        <w:t>Action items</w:t>
      </w:r>
    </w:p>
    <w:p w14:paraId="26534C6F" w14:textId="77777777" w:rsidR="00C14455" w:rsidRPr="00046697" w:rsidRDefault="00C14455" w:rsidP="00046697">
      <w:pPr>
        <w:pStyle w:val="ListParagraph"/>
        <w:widowControl w:val="0"/>
        <w:autoSpaceDE w:val="0"/>
        <w:autoSpaceDN w:val="0"/>
        <w:adjustRightInd w:val="0"/>
        <w:ind w:left="0"/>
      </w:pPr>
      <w:r w:rsidRPr="00046697">
        <w:t>The secretariat will:</w:t>
      </w:r>
    </w:p>
    <w:p w14:paraId="64A80CB3" w14:textId="77777777" w:rsidR="00C14455" w:rsidRPr="00046697" w:rsidRDefault="00C14455" w:rsidP="00046697">
      <w:pPr>
        <w:pStyle w:val="ListParagraph"/>
        <w:widowControl w:val="0"/>
        <w:numPr>
          <w:ilvl w:val="0"/>
          <w:numId w:val="13"/>
        </w:numPr>
        <w:autoSpaceDE w:val="0"/>
        <w:autoSpaceDN w:val="0"/>
        <w:adjustRightInd w:val="0"/>
      </w:pPr>
      <w:r w:rsidRPr="00046697">
        <w:t>circulate a summary of the second EAC meeting for review and feedback</w:t>
      </w:r>
    </w:p>
    <w:p w14:paraId="1DFC08B8" w14:textId="77777777" w:rsidR="00C14455" w:rsidRPr="00046697" w:rsidRDefault="00C14455" w:rsidP="00046697">
      <w:pPr>
        <w:pStyle w:val="ListParagraph"/>
        <w:widowControl w:val="0"/>
        <w:numPr>
          <w:ilvl w:val="0"/>
          <w:numId w:val="13"/>
        </w:numPr>
        <w:autoSpaceDE w:val="0"/>
        <w:autoSpaceDN w:val="0"/>
        <w:adjustRightInd w:val="0"/>
      </w:pPr>
      <w:r w:rsidRPr="00046697">
        <w:t xml:space="preserve">develop a communique of the second meeting to be provided on the Review’s </w:t>
      </w:r>
      <w:r w:rsidRPr="00046697">
        <w:lastRenderedPageBreak/>
        <w:t>website</w:t>
      </w:r>
    </w:p>
    <w:p w14:paraId="68E73E94" w14:textId="139F2046" w:rsidR="00C14455" w:rsidRPr="00046697" w:rsidRDefault="00C14455" w:rsidP="00046697">
      <w:pPr>
        <w:pStyle w:val="ListParagraph"/>
        <w:widowControl w:val="0"/>
        <w:numPr>
          <w:ilvl w:val="0"/>
          <w:numId w:val="13"/>
        </w:numPr>
        <w:autoSpaceDE w:val="0"/>
        <w:autoSpaceDN w:val="0"/>
        <w:adjustRightInd w:val="0"/>
      </w:pPr>
      <w:r w:rsidRPr="00046697">
        <w:t xml:space="preserve">open the call for registrations </w:t>
      </w:r>
      <w:r w:rsidR="00046697">
        <w:t>for the national events.</w:t>
      </w:r>
    </w:p>
    <w:p w14:paraId="0A589567" w14:textId="758BA44A" w:rsidR="00C14455" w:rsidRPr="00046697" w:rsidRDefault="00C14455" w:rsidP="00046697">
      <w:pPr>
        <w:pStyle w:val="ListParagraph"/>
        <w:widowControl w:val="0"/>
        <w:numPr>
          <w:ilvl w:val="0"/>
          <w:numId w:val="13"/>
        </w:numPr>
        <w:autoSpaceDE w:val="0"/>
        <w:autoSpaceDN w:val="0"/>
        <w:adjustRightInd w:val="0"/>
      </w:pPr>
      <w:r w:rsidRPr="00046697">
        <w:t>send information on the next two EAC meetings early in the new year and well in advance of the next two meetings.</w:t>
      </w:r>
    </w:p>
    <w:p w14:paraId="188A813A" w14:textId="636FE31E" w:rsidR="00472A55" w:rsidRDefault="00472A55" w:rsidP="00C14455">
      <w:pPr>
        <w:pStyle w:val="Heading2"/>
        <w:keepNext w:val="0"/>
        <w:widowControl w:val="0"/>
        <w:spacing w:before="0"/>
      </w:pPr>
      <w:r>
        <w:t xml:space="preserve">Engagement and </w:t>
      </w:r>
      <w:r w:rsidR="000C3991">
        <w:t>f</w:t>
      </w:r>
      <w:r>
        <w:t xml:space="preserve">urther </w:t>
      </w:r>
      <w:r w:rsidR="000C3991">
        <w:t>i</w:t>
      </w:r>
      <w:r>
        <w:t>nformation</w:t>
      </w:r>
    </w:p>
    <w:p w14:paraId="148C3F73" w14:textId="2C902E57" w:rsidR="00472A55" w:rsidRPr="009040E9" w:rsidRDefault="00472A55" w:rsidP="00C14455">
      <w:pPr>
        <w:widowControl w:val="0"/>
      </w:pPr>
      <w:r>
        <w:t xml:space="preserve">Organisations and individuals seeking to engage with the review should </w:t>
      </w:r>
      <w:r w:rsidR="000C3991">
        <w:t xml:space="preserve">contact the review team. </w:t>
      </w:r>
      <w:r>
        <w:t xml:space="preserve">Further information on the review is </w:t>
      </w:r>
      <w:r w:rsidR="000C3991">
        <w:t xml:space="preserve">also </w:t>
      </w:r>
      <w:r>
        <w:t>available by emailing:</w:t>
      </w:r>
      <w:r w:rsidR="000C3991">
        <w:t xml:space="preserve"> </w:t>
      </w:r>
      <w:hyperlink r:id="rId7" w:history="1">
        <w:r w:rsidR="000C3991" w:rsidRPr="00855BD0">
          <w:rPr>
            <w:rStyle w:val="Hyperlink"/>
          </w:rPr>
          <w:t>scopeofpracticereview@health.gov.au</w:t>
        </w:r>
      </w:hyperlink>
      <w:r>
        <w:t>.</w:t>
      </w:r>
    </w:p>
    <w:sectPr w:rsidR="00472A55" w:rsidRPr="009040E9" w:rsidSect="000F606E">
      <w:headerReference w:type="default" r:id="rId8"/>
      <w:footerReference w:type="default" r:id="rId9"/>
      <w:headerReference w:type="first" r:id="rId10"/>
      <w:footerReference w:type="first" r:id="rId11"/>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4C389" w14:textId="77777777" w:rsidR="000F606E" w:rsidRDefault="000F606E" w:rsidP="00472A55">
      <w:pPr>
        <w:spacing w:before="0" w:after="0" w:line="240" w:lineRule="auto"/>
      </w:pPr>
      <w:r>
        <w:separator/>
      </w:r>
    </w:p>
  </w:endnote>
  <w:endnote w:type="continuationSeparator" w:id="0">
    <w:p w14:paraId="512A1A61" w14:textId="77777777" w:rsidR="000F606E" w:rsidRDefault="000F606E" w:rsidP="00472A55">
      <w:pPr>
        <w:spacing w:before="0" w:after="0" w:line="240" w:lineRule="auto"/>
      </w:pPr>
      <w:r>
        <w:continuationSeparator/>
      </w:r>
    </w:p>
  </w:endnote>
  <w:endnote w:type="continuationNotice" w:id="1">
    <w:p w14:paraId="3BBB5D81" w14:textId="77777777" w:rsidR="000F606E" w:rsidRDefault="000F606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0C0C9" w14:textId="78BC161E" w:rsidR="002F2802" w:rsidRDefault="00062236">
    <w:pPr>
      <w:pStyle w:val="Footer"/>
    </w:pPr>
    <w:r>
      <w:rPr>
        <w:noProof/>
      </w:rPr>
      <w:drawing>
        <wp:inline distT="0" distB="0" distL="0" distR="0" wp14:anchorId="62A97562" wp14:editId="092A9B0E">
          <wp:extent cx="5759450" cy="542290"/>
          <wp:effectExtent l="0" t="0" r="0" b="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9450" cy="54229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CF6D" w14:textId="6DBC7F51" w:rsidR="002F2802" w:rsidRDefault="00062236">
    <w:pPr>
      <w:pStyle w:val="Footer"/>
    </w:pPr>
    <w:r>
      <w:rPr>
        <w:noProof/>
      </w:rPr>
      <w:drawing>
        <wp:inline distT="0" distB="0" distL="0" distR="0" wp14:anchorId="736D3D69" wp14:editId="428B186A">
          <wp:extent cx="5759450" cy="542290"/>
          <wp:effectExtent l="0" t="0" r="0" b="0"/>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59450" cy="5422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5F69E" w14:textId="77777777" w:rsidR="000F606E" w:rsidRDefault="000F606E" w:rsidP="00472A55">
      <w:pPr>
        <w:spacing w:before="0" w:after="0" w:line="240" w:lineRule="auto"/>
      </w:pPr>
      <w:r>
        <w:separator/>
      </w:r>
    </w:p>
  </w:footnote>
  <w:footnote w:type="continuationSeparator" w:id="0">
    <w:p w14:paraId="019D64EA" w14:textId="77777777" w:rsidR="000F606E" w:rsidRDefault="000F606E" w:rsidP="00472A55">
      <w:pPr>
        <w:spacing w:before="0" w:after="0" w:line="240" w:lineRule="auto"/>
      </w:pPr>
      <w:r>
        <w:continuationSeparator/>
      </w:r>
    </w:p>
  </w:footnote>
  <w:footnote w:type="continuationNotice" w:id="1">
    <w:p w14:paraId="2363FC78" w14:textId="77777777" w:rsidR="000F606E" w:rsidRDefault="000F606E">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CADC" w14:textId="77777777" w:rsidR="0007636A" w:rsidRDefault="0007636A" w:rsidP="008E0C77">
    <w:pPr>
      <w:pStyle w:val="Headertext"/>
      <w:spacing w:after="18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4D80B" w14:textId="56D3D919" w:rsidR="0007636A" w:rsidRDefault="000C3991">
    <w:pPr>
      <w:pStyle w:val="Header"/>
    </w:pPr>
    <w:r>
      <w:rPr>
        <w:noProof/>
      </w:rPr>
      <w:drawing>
        <wp:inline distT="0" distB="0" distL="0" distR="0" wp14:anchorId="183C878D" wp14:editId="3B9E1237">
          <wp:extent cx="5759450" cy="1077595"/>
          <wp:effectExtent l="0" t="0" r="0" b="8255"/>
          <wp:docPr id="2" name="Picture 2" descr="Unleashing the potential of our health workforce.&#10;&#10;Scope of practice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leashing the potential of our health workforce.&#10;&#10;Scope of practice review."/>
                  <pic:cNvPicPr/>
                </pic:nvPicPr>
                <pic:blipFill>
                  <a:blip r:embed="rId1">
                    <a:extLst>
                      <a:ext uri="{28A0092B-C50C-407E-A947-70E740481C1C}">
                        <a14:useLocalDpi xmlns:a14="http://schemas.microsoft.com/office/drawing/2010/main" val="0"/>
                      </a:ext>
                    </a:extLst>
                  </a:blip>
                  <a:stretch>
                    <a:fillRect/>
                  </a:stretch>
                </pic:blipFill>
                <pic:spPr>
                  <a:xfrm>
                    <a:off x="0" y="0"/>
                    <a:ext cx="5759450" cy="10775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BBF"/>
    <w:multiLevelType w:val="hybridMultilevel"/>
    <w:tmpl w:val="053286F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 w15:restartNumberingAfterBreak="0">
    <w:nsid w:val="1E6D67BC"/>
    <w:multiLevelType w:val="hybridMultilevel"/>
    <w:tmpl w:val="A568EF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5D922C6"/>
    <w:multiLevelType w:val="hybridMultilevel"/>
    <w:tmpl w:val="5C021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76386D"/>
    <w:multiLevelType w:val="hybridMultilevel"/>
    <w:tmpl w:val="D6B0D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6F2C5F"/>
    <w:multiLevelType w:val="hybridMultilevel"/>
    <w:tmpl w:val="DF7C2F38"/>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821653"/>
    <w:multiLevelType w:val="hybridMultilevel"/>
    <w:tmpl w:val="47EED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DC4366"/>
    <w:multiLevelType w:val="hybridMultilevel"/>
    <w:tmpl w:val="B5365C6E"/>
    <w:lvl w:ilvl="0" w:tplc="DF8CB5EC">
      <w:start w:val="2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518117C"/>
    <w:multiLevelType w:val="hybridMultilevel"/>
    <w:tmpl w:val="F24AC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6215B34"/>
    <w:multiLevelType w:val="hybridMultilevel"/>
    <w:tmpl w:val="15B089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CDB65FD"/>
    <w:multiLevelType w:val="hybridMultilevel"/>
    <w:tmpl w:val="B464F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A0562AA"/>
    <w:multiLevelType w:val="hybridMultilevel"/>
    <w:tmpl w:val="B0E4C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8B43150"/>
    <w:multiLevelType w:val="hybridMultilevel"/>
    <w:tmpl w:val="2C4A8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98B7E80"/>
    <w:multiLevelType w:val="hybridMultilevel"/>
    <w:tmpl w:val="9E1872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EE8264F"/>
    <w:multiLevelType w:val="hybridMultilevel"/>
    <w:tmpl w:val="96F84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1AB0B9C"/>
    <w:multiLevelType w:val="hybridMultilevel"/>
    <w:tmpl w:val="062E5E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DFC02A6"/>
    <w:multiLevelType w:val="hybridMultilevel"/>
    <w:tmpl w:val="A568EF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85196991">
    <w:abstractNumId w:val="6"/>
  </w:num>
  <w:num w:numId="2" w16cid:durableId="1593465063">
    <w:abstractNumId w:val="8"/>
  </w:num>
  <w:num w:numId="3" w16cid:durableId="1663967352">
    <w:abstractNumId w:val="1"/>
  </w:num>
  <w:num w:numId="4" w16cid:durableId="1668097737">
    <w:abstractNumId w:val="2"/>
  </w:num>
  <w:num w:numId="5" w16cid:durableId="834878641">
    <w:abstractNumId w:val="15"/>
  </w:num>
  <w:num w:numId="6" w16cid:durableId="130560630">
    <w:abstractNumId w:val="4"/>
  </w:num>
  <w:num w:numId="7" w16cid:durableId="611207817">
    <w:abstractNumId w:val="11"/>
  </w:num>
  <w:num w:numId="8" w16cid:durableId="645889719">
    <w:abstractNumId w:val="9"/>
  </w:num>
  <w:num w:numId="9" w16cid:durableId="2024235079">
    <w:abstractNumId w:val="13"/>
  </w:num>
  <w:num w:numId="10" w16cid:durableId="1569460563">
    <w:abstractNumId w:val="0"/>
  </w:num>
  <w:num w:numId="11" w16cid:durableId="1623226651">
    <w:abstractNumId w:val="7"/>
  </w:num>
  <w:num w:numId="12" w16cid:durableId="1592393991">
    <w:abstractNumId w:val="14"/>
  </w:num>
  <w:num w:numId="13" w16cid:durableId="1953710209">
    <w:abstractNumId w:val="10"/>
  </w:num>
  <w:num w:numId="14" w16cid:durableId="1066949929">
    <w:abstractNumId w:val="3"/>
  </w:num>
  <w:num w:numId="15" w16cid:durableId="231624756">
    <w:abstractNumId w:val="5"/>
  </w:num>
  <w:num w:numId="16" w16cid:durableId="10212752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A55"/>
    <w:rsid w:val="00011914"/>
    <w:rsid w:val="00046697"/>
    <w:rsid w:val="00062236"/>
    <w:rsid w:val="0007636A"/>
    <w:rsid w:val="0008178C"/>
    <w:rsid w:val="000C3991"/>
    <w:rsid w:val="000D39F7"/>
    <w:rsid w:val="000E5356"/>
    <w:rsid w:val="000F606E"/>
    <w:rsid w:val="0010096E"/>
    <w:rsid w:val="001036A7"/>
    <w:rsid w:val="001267A5"/>
    <w:rsid w:val="00155D4E"/>
    <w:rsid w:val="00165DFF"/>
    <w:rsid w:val="001D2F6D"/>
    <w:rsid w:val="00205A63"/>
    <w:rsid w:val="00222971"/>
    <w:rsid w:val="00280050"/>
    <w:rsid w:val="002A40F0"/>
    <w:rsid w:val="002F2802"/>
    <w:rsid w:val="002F2D64"/>
    <w:rsid w:val="00312B83"/>
    <w:rsid w:val="00330E30"/>
    <w:rsid w:val="003A3486"/>
    <w:rsid w:val="003B0A1E"/>
    <w:rsid w:val="003F0AD0"/>
    <w:rsid w:val="00424731"/>
    <w:rsid w:val="00472A55"/>
    <w:rsid w:val="00472D3B"/>
    <w:rsid w:val="004E60F0"/>
    <w:rsid w:val="005134B6"/>
    <w:rsid w:val="00515D26"/>
    <w:rsid w:val="00545329"/>
    <w:rsid w:val="0055456E"/>
    <w:rsid w:val="00561944"/>
    <w:rsid w:val="00620495"/>
    <w:rsid w:val="00656F7C"/>
    <w:rsid w:val="00674B9A"/>
    <w:rsid w:val="00680134"/>
    <w:rsid w:val="00680EE3"/>
    <w:rsid w:val="00696120"/>
    <w:rsid w:val="006C36CC"/>
    <w:rsid w:val="006C434C"/>
    <w:rsid w:val="006C6CC8"/>
    <w:rsid w:val="006E3D5B"/>
    <w:rsid w:val="00725CD8"/>
    <w:rsid w:val="0074747F"/>
    <w:rsid w:val="00762DEE"/>
    <w:rsid w:val="00774B89"/>
    <w:rsid w:val="007753D0"/>
    <w:rsid w:val="007C6DD9"/>
    <w:rsid w:val="00803028"/>
    <w:rsid w:val="00842FFE"/>
    <w:rsid w:val="008600BF"/>
    <w:rsid w:val="008765ED"/>
    <w:rsid w:val="00892EFB"/>
    <w:rsid w:val="008C0FD4"/>
    <w:rsid w:val="008C163C"/>
    <w:rsid w:val="008F3727"/>
    <w:rsid w:val="00924A04"/>
    <w:rsid w:val="00940036"/>
    <w:rsid w:val="00950AA0"/>
    <w:rsid w:val="009658B1"/>
    <w:rsid w:val="009A6C5C"/>
    <w:rsid w:val="009C3EE9"/>
    <w:rsid w:val="00A00705"/>
    <w:rsid w:val="00A03380"/>
    <w:rsid w:val="00A06858"/>
    <w:rsid w:val="00A17543"/>
    <w:rsid w:val="00A4204F"/>
    <w:rsid w:val="00A81512"/>
    <w:rsid w:val="00B17A46"/>
    <w:rsid w:val="00B51862"/>
    <w:rsid w:val="00B578B0"/>
    <w:rsid w:val="00B77BE3"/>
    <w:rsid w:val="00C14455"/>
    <w:rsid w:val="00CD5BB3"/>
    <w:rsid w:val="00CE48F7"/>
    <w:rsid w:val="00D75EBC"/>
    <w:rsid w:val="00DA284C"/>
    <w:rsid w:val="00E33E87"/>
    <w:rsid w:val="00E364F5"/>
    <w:rsid w:val="00E748C5"/>
    <w:rsid w:val="00E76733"/>
    <w:rsid w:val="00EA6FB0"/>
    <w:rsid w:val="00F01D9A"/>
    <w:rsid w:val="00F14D6C"/>
    <w:rsid w:val="00F609D6"/>
    <w:rsid w:val="00F846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A0DB2"/>
  <w15:chartTrackingRefBased/>
  <w15:docId w15:val="{51ABDCB3-6C9F-4C6E-9B6E-784923082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A55"/>
    <w:pPr>
      <w:spacing w:before="120" w:after="120" w:line="276" w:lineRule="auto"/>
    </w:pPr>
    <w:rPr>
      <w:rFonts w:ascii="Arial" w:eastAsia="Times New Roman" w:hAnsi="Arial"/>
      <w:color w:val="000000" w:themeColor="text1"/>
      <w:sz w:val="22"/>
    </w:rPr>
  </w:style>
  <w:style w:type="paragraph" w:styleId="Heading2">
    <w:name w:val="heading 2"/>
    <w:next w:val="Normal"/>
    <w:link w:val="Heading2Char"/>
    <w:qFormat/>
    <w:rsid w:val="00472A55"/>
    <w:pPr>
      <w:keepNext/>
      <w:spacing w:before="240" w:after="60" w:line="240" w:lineRule="auto"/>
      <w:outlineLvl w:val="1"/>
    </w:pPr>
    <w:rPr>
      <w:rFonts w:ascii="Arial" w:eastAsia="Times New Roman" w:hAnsi="Arial" w:cs="Arial"/>
      <w:b/>
      <w:bCs/>
      <w:iCs/>
      <w:color w:val="358189"/>
      <w:sz w:val="36"/>
      <w:szCs w:val="28"/>
    </w:rPr>
  </w:style>
  <w:style w:type="paragraph" w:styleId="Heading3">
    <w:name w:val="heading 3"/>
    <w:basedOn w:val="Normal"/>
    <w:next w:val="Normal"/>
    <w:link w:val="Heading3Char"/>
    <w:uiPriority w:val="9"/>
    <w:unhideWhenUsed/>
    <w:qFormat/>
    <w:rsid w:val="00011914"/>
    <w:pPr>
      <w:keepNext/>
      <w:keepLines/>
      <w:spacing w:before="40" w:after="0" w:line="259" w:lineRule="auto"/>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72A55"/>
    <w:rPr>
      <w:rFonts w:ascii="Arial" w:eastAsia="Times New Roman" w:hAnsi="Arial" w:cs="Arial"/>
      <w:b/>
      <w:bCs/>
      <w:iCs/>
      <w:color w:val="358189"/>
      <w:sz w:val="36"/>
      <w:szCs w:val="28"/>
    </w:rPr>
  </w:style>
  <w:style w:type="paragraph" w:styleId="ListParagraph">
    <w:name w:val="List Paragraph"/>
    <w:aliases w:val="Bullet points,#List Paragraph,Recommendation,List Paragraph1,List Paragraph11,1 heading,Bullet point,CAB - List Bullet,Dot point 1.5 line spacing,FooterText,L,List Bullet Cab,List Paragraph - bullets,List Paragraph2,NFP GP Bulleted List,列"/>
    <w:basedOn w:val="Normal"/>
    <w:link w:val="ListParagraphChar"/>
    <w:uiPriority w:val="34"/>
    <w:qFormat/>
    <w:rsid w:val="00472A55"/>
    <w:pPr>
      <w:ind w:left="720"/>
      <w:contextualSpacing/>
    </w:pPr>
  </w:style>
  <w:style w:type="paragraph" w:styleId="Header">
    <w:name w:val="header"/>
    <w:link w:val="HeaderChar"/>
    <w:uiPriority w:val="99"/>
    <w:qFormat/>
    <w:rsid w:val="00472A55"/>
    <w:pPr>
      <w:tabs>
        <w:tab w:val="center" w:pos="4513"/>
        <w:tab w:val="right" w:pos="9026"/>
      </w:tabs>
      <w:spacing w:after="0" w:line="240" w:lineRule="auto"/>
    </w:pPr>
    <w:rPr>
      <w:rFonts w:ascii="Arial" w:eastAsia="Times New Roman" w:hAnsi="Arial"/>
      <w:sz w:val="22"/>
    </w:rPr>
  </w:style>
  <w:style w:type="character" w:customStyle="1" w:styleId="HeaderChar">
    <w:name w:val="Header Char"/>
    <w:basedOn w:val="DefaultParagraphFont"/>
    <w:link w:val="Header"/>
    <w:uiPriority w:val="99"/>
    <w:rsid w:val="00472A55"/>
    <w:rPr>
      <w:rFonts w:ascii="Arial" w:eastAsia="Times New Roman" w:hAnsi="Arial"/>
      <w:sz w:val="22"/>
    </w:rPr>
  </w:style>
  <w:style w:type="paragraph" w:styleId="Footer">
    <w:name w:val="footer"/>
    <w:link w:val="FooterChar"/>
    <w:uiPriority w:val="99"/>
    <w:qFormat/>
    <w:rsid w:val="00472A55"/>
    <w:pPr>
      <w:tabs>
        <w:tab w:val="center" w:pos="0"/>
        <w:tab w:val="right" w:pos="9026"/>
      </w:tabs>
      <w:spacing w:after="0" w:line="240" w:lineRule="auto"/>
      <w:jc w:val="right"/>
    </w:pPr>
    <w:rPr>
      <w:rFonts w:ascii="Arial" w:eastAsia="Times New Roman" w:hAnsi="Arial"/>
      <w:sz w:val="20"/>
    </w:rPr>
  </w:style>
  <w:style w:type="character" w:customStyle="1" w:styleId="FooterChar">
    <w:name w:val="Footer Char"/>
    <w:basedOn w:val="DefaultParagraphFont"/>
    <w:link w:val="Footer"/>
    <w:uiPriority w:val="99"/>
    <w:rsid w:val="00472A55"/>
    <w:rPr>
      <w:rFonts w:ascii="Arial" w:eastAsia="Times New Roman" w:hAnsi="Arial"/>
      <w:sz w:val="20"/>
    </w:rPr>
  </w:style>
  <w:style w:type="paragraph" w:customStyle="1" w:styleId="Headertext">
    <w:name w:val="Header text"/>
    <w:rsid w:val="00472A55"/>
    <w:pPr>
      <w:spacing w:after="0" w:line="240" w:lineRule="auto"/>
      <w:jc w:val="right"/>
    </w:pPr>
    <w:rPr>
      <w:rFonts w:ascii="Arial" w:eastAsia="Times New Roman" w:hAnsi="Arial"/>
      <w:sz w:val="20"/>
    </w:rPr>
  </w:style>
  <w:style w:type="character" w:styleId="Hyperlink">
    <w:name w:val="Hyperlink"/>
    <w:basedOn w:val="DefaultParagraphFont"/>
    <w:uiPriority w:val="99"/>
    <w:qFormat/>
    <w:rsid w:val="00472A55"/>
    <w:rPr>
      <w:color w:val="0563C1" w:themeColor="hyperlink"/>
      <w:u w:val="single"/>
    </w:rPr>
  </w:style>
  <w:style w:type="character" w:customStyle="1" w:styleId="ListParagraphChar">
    <w:name w:val="List Paragraph Char"/>
    <w:aliases w:val="Bullet points Char,#List Paragraph Char,Recommendation Char,List Paragraph1 Char,List Paragraph11 Char,1 heading Char,Bullet point Char,CAB - List Bullet Char,Dot point 1.5 line spacing Char,FooterText Char,L Char,列 Char"/>
    <w:basedOn w:val="DefaultParagraphFont"/>
    <w:link w:val="ListParagraph"/>
    <w:uiPriority w:val="34"/>
    <w:qFormat/>
    <w:locked/>
    <w:rsid w:val="00472A55"/>
    <w:rPr>
      <w:rFonts w:ascii="Arial" w:eastAsia="Times New Roman" w:hAnsi="Arial"/>
      <w:color w:val="000000" w:themeColor="text1"/>
      <w:sz w:val="22"/>
    </w:rPr>
  </w:style>
  <w:style w:type="character" w:styleId="CommentReference">
    <w:name w:val="annotation reference"/>
    <w:basedOn w:val="DefaultParagraphFont"/>
    <w:uiPriority w:val="99"/>
    <w:semiHidden/>
    <w:unhideWhenUsed/>
    <w:rsid w:val="00472D3B"/>
    <w:rPr>
      <w:sz w:val="16"/>
      <w:szCs w:val="16"/>
    </w:rPr>
  </w:style>
  <w:style w:type="paragraph" w:styleId="CommentText">
    <w:name w:val="annotation text"/>
    <w:basedOn w:val="Normal"/>
    <w:link w:val="CommentTextChar"/>
    <w:uiPriority w:val="99"/>
    <w:unhideWhenUsed/>
    <w:rsid w:val="00472D3B"/>
    <w:pPr>
      <w:spacing w:line="240" w:lineRule="auto"/>
    </w:pPr>
    <w:rPr>
      <w:rFonts w:asciiTheme="minorHAnsi" w:eastAsiaTheme="minorHAnsi" w:hAnsiTheme="minorHAnsi" w:cstheme="minorHAnsi"/>
      <w:bCs/>
      <w:iCs/>
      <w:color w:val="auto"/>
      <w:sz w:val="20"/>
      <w:szCs w:val="20"/>
    </w:rPr>
  </w:style>
  <w:style w:type="character" w:customStyle="1" w:styleId="CommentTextChar">
    <w:name w:val="Comment Text Char"/>
    <w:basedOn w:val="DefaultParagraphFont"/>
    <w:link w:val="CommentText"/>
    <w:uiPriority w:val="99"/>
    <w:rsid w:val="00472D3B"/>
    <w:rPr>
      <w:rFonts w:asciiTheme="minorHAnsi" w:hAnsiTheme="minorHAnsi" w:cstheme="minorHAnsi"/>
      <w:bCs/>
      <w:iCs/>
      <w:sz w:val="20"/>
      <w:szCs w:val="20"/>
    </w:rPr>
  </w:style>
  <w:style w:type="paragraph" w:styleId="NormalWeb">
    <w:name w:val="Normal (Web)"/>
    <w:basedOn w:val="Normal"/>
    <w:uiPriority w:val="99"/>
    <w:unhideWhenUsed/>
    <w:rsid w:val="00472D3B"/>
    <w:pPr>
      <w:spacing w:before="100" w:beforeAutospacing="1" w:after="100" w:afterAutospacing="1" w:line="240" w:lineRule="auto"/>
    </w:pPr>
    <w:rPr>
      <w:rFonts w:ascii="Calibri" w:eastAsiaTheme="minorHAnsi" w:hAnsi="Calibri" w:cs="Calibri"/>
      <w:color w:val="auto"/>
      <w:szCs w:val="22"/>
      <w:lang w:eastAsia="en-AU"/>
    </w:rPr>
  </w:style>
  <w:style w:type="character" w:customStyle="1" w:styleId="Heading3Char">
    <w:name w:val="Heading 3 Char"/>
    <w:basedOn w:val="DefaultParagraphFont"/>
    <w:link w:val="Heading3"/>
    <w:uiPriority w:val="9"/>
    <w:rsid w:val="00011914"/>
    <w:rPr>
      <w:rFonts w:asciiTheme="majorHAnsi" w:eastAsiaTheme="majorEastAsia" w:hAnsiTheme="majorHAnsi" w:cstheme="majorBidi"/>
      <w:color w:val="1F3763" w:themeColor="accent1" w:themeShade="7F"/>
    </w:rPr>
  </w:style>
  <w:style w:type="character" w:styleId="UnresolvedMention">
    <w:name w:val="Unresolved Mention"/>
    <w:basedOn w:val="DefaultParagraphFont"/>
    <w:uiPriority w:val="99"/>
    <w:semiHidden/>
    <w:unhideWhenUsed/>
    <w:rsid w:val="000C3991"/>
    <w:rPr>
      <w:color w:val="605E5C"/>
      <w:shd w:val="clear" w:color="auto" w:fill="E1DFDD"/>
    </w:rPr>
  </w:style>
  <w:style w:type="paragraph" w:styleId="Revision">
    <w:name w:val="Revision"/>
    <w:hidden/>
    <w:uiPriority w:val="99"/>
    <w:semiHidden/>
    <w:rsid w:val="001036A7"/>
    <w:pPr>
      <w:spacing w:after="0" w:line="240" w:lineRule="auto"/>
    </w:pPr>
    <w:rPr>
      <w:rFonts w:ascii="Arial" w:eastAsia="Times New Roman" w:hAnsi="Arial"/>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copeofpracticereview@health.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744</Words>
  <Characters>4206</Characters>
  <Application>Microsoft Office Word</Application>
  <DocSecurity>0</DocSecurity>
  <Lines>81</Lines>
  <Paragraphs>45</Paragraphs>
  <ScaleCrop>false</ScaleCrop>
  <HeadingPairs>
    <vt:vector size="2" baseType="variant">
      <vt:variant>
        <vt:lpstr>Title</vt:lpstr>
      </vt:variant>
      <vt:variant>
        <vt:i4>1</vt:i4>
      </vt:variant>
    </vt:vector>
  </HeadingPairs>
  <TitlesOfParts>
    <vt:vector size="1" baseType="lpstr">
      <vt:lpstr>EAC for Scope of Practice Review communique – 12 December 2023</vt:lpstr>
    </vt:vector>
  </TitlesOfParts>
  <Company/>
  <LinksUpToDate>false</LinksUpToDate>
  <CharactersWithSpaces>4917</CharactersWithSpaces>
  <SharedDoc>false</SharedDoc>
  <HLinks>
    <vt:vector size="6" baseType="variant">
      <vt:variant>
        <vt:i4>8126464</vt:i4>
      </vt:variant>
      <vt:variant>
        <vt:i4>0</vt:i4>
      </vt:variant>
      <vt:variant>
        <vt:i4>0</vt:i4>
      </vt:variant>
      <vt:variant>
        <vt:i4>5</vt:i4>
      </vt:variant>
      <vt:variant>
        <vt:lpwstr>mailto:scopeofpracticereview@health.gov.au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EAC for Scope of Practice Review communique – 12 December 2023</dc:title>
  <dc:subject>Scope of Practice Review</dc:subject>
  <dc:creator>Australian Government Department of Health and Aged Care</dc:creator>
  <cp:keywords>Health workforce</cp:keywords>
  <dc:description/>
  <cp:revision>3</cp:revision>
  <dcterms:created xsi:type="dcterms:W3CDTF">2024-02-21T23:54:00Z</dcterms:created>
  <dcterms:modified xsi:type="dcterms:W3CDTF">2024-02-22T00:02:00Z</dcterms:modified>
</cp:coreProperties>
</file>