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7D00" w14:textId="76CB6E9F" w:rsidR="00BA2732" w:rsidRDefault="0089664B" w:rsidP="0068134A">
      <w:pPr>
        <w:pStyle w:val="Heading1"/>
      </w:pPr>
      <w:r w:rsidRPr="0089664B">
        <w:t>Co-design of an Enhanced Consumer Engagement Proces</w:t>
      </w:r>
      <w:r w:rsidR="00377DF8">
        <w:t>s Working Group</w:t>
      </w:r>
    </w:p>
    <w:p w14:paraId="399B0AF7" w14:textId="76072DB4" w:rsidR="0054768D" w:rsidRPr="00231E97" w:rsidRDefault="005679C2" w:rsidP="00231E97">
      <w:pPr>
        <w:pStyle w:val="Heading2"/>
      </w:pPr>
      <w:r w:rsidRPr="00231E97">
        <w:t>Communique – Co-design Workshop #</w:t>
      </w:r>
      <w:r w:rsidR="00290C9C">
        <w:t>2</w:t>
      </w:r>
      <w:r w:rsidRPr="00231E97">
        <w:t xml:space="preserve"> – </w:t>
      </w:r>
      <w:bookmarkStart w:id="0" w:name="_Hlk157093510"/>
      <w:r w:rsidR="00290C9C">
        <w:t>29 January</w:t>
      </w:r>
      <w:r w:rsidRPr="00231E97">
        <w:t xml:space="preserve"> 202</w:t>
      </w:r>
      <w:bookmarkEnd w:id="0"/>
      <w:r w:rsidR="00290C9C">
        <w:t>4</w:t>
      </w:r>
    </w:p>
    <w:p w14:paraId="64A2126A" w14:textId="5926BBFE" w:rsidR="004C2B38" w:rsidRPr="00A9211B" w:rsidRDefault="004C2B38" w:rsidP="004C2B38">
      <w:r>
        <w:t xml:space="preserve">The Co-design Working Group (CWG) of the Enhanced Consumer Engagement Process </w:t>
      </w:r>
      <w:r w:rsidR="007033EE">
        <w:t xml:space="preserve">participated in </w:t>
      </w:r>
      <w:r>
        <w:t>a</w:t>
      </w:r>
      <w:r w:rsidR="00290C9C">
        <w:t xml:space="preserve">n online </w:t>
      </w:r>
      <w:r w:rsidR="00204894">
        <w:t>w</w:t>
      </w:r>
      <w:r>
        <w:t xml:space="preserve">orkshop on </w:t>
      </w:r>
      <w:r w:rsidR="00290C9C">
        <w:t>29 January 2024</w:t>
      </w:r>
      <w:r>
        <w:t xml:space="preserve">. </w:t>
      </w:r>
      <w:r w:rsidR="00DF27D5">
        <w:t>The workshop was run by i</w:t>
      </w:r>
      <w:r>
        <w:t xml:space="preserve">ndependent facilitators from the Methods and Implementation Support for Clinical and Health (MISCH) Research Hub, Nossal Institute for Global Health, The University of Melbourne, </w:t>
      </w:r>
      <w:r w:rsidR="00DF27D5">
        <w:t>who have been engaged</w:t>
      </w:r>
      <w:r>
        <w:t xml:space="preserve"> to develop and implement the project.</w:t>
      </w:r>
    </w:p>
    <w:p w14:paraId="38A95CD3" w14:textId="77777777" w:rsidR="004C2B38" w:rsidRDefault="004C2B38" w:rsidP="004C2B38">
      <w:pPr>
        <w:pStyle w:val="Heading2"/>
        <w:spacing w:after="240"/>
      </w:pPr>
      <w:r w:rsidRPr="00FF5384">
        <w:t xml:space="preserve">What did the </w:t>
      </w:r>
      <w:r>
        <w:t>Working Group</w:t>
      </w:r>
      <w:r w:rsidRPr="00FF5384">
        <w:t xml:space="preserve"> </w:t>
      </w:r>
      <w:r w:rsidRPr="0024324A">
        <w:t>discuss</w:t>
      </w:r>
      <w:r w:rsidRPr="00FF5384">
        <w:t>?</w:t>
      </w:r>
    </w:p>
    <w:p w14:paraId="29A1EF3C" w14:textId="7B8D3E73" w:rsidR="00290C9C" w:rsidRDefault="00290C9C" w:rsidP="00290C9C">
      <w:pPr>
        <w:pStyle w:val="Heading3"/>
      </w:pPr>
      <w:r>
        <w:t>Chair’s update</w:t>
      </w:r>
    </w:p>
    <w:p w14:paraId="7A6B0512" w14:textId="591C9365" w:rsidR="00290C9C" w:rsidRDefault="00290C9C" w:rsidP="00290C9C">
      <w:bookmarkStart w:id="1" w:name="_Hlk158215261"/>
      <w:r>
        <w:t xml:space="preserve">The Chair and two CWG members met with the HTA Policy and Methods Review (HTA Review) Reference Committee on 14 December 2023. The Chair noted the Reference Committee’s interest in the co-design work and the synergies which exist between these two elements within the 2022-2027 </w:t>
      </w:r>
      <w:hyperlink r:id="rId12" w:history="1">
        <w:r w:rsidRPr="00290C9C">
          <w:rPr>
            <w:rStyle w:val="Hyperlink"/>
          </w:rPr>
          <w:t>Strategic Agreement</w:t>
        </w:r>
      </w:hyperlink>
      <w:r>
        <w:t xml:space="preserve"> between the Commonwealth and Medicines Australia.</w:t>
      </w:r>
    </w:p>
    <w:bookmarkEnd w:id="1"/>
    <w:p w14:paraId="0292A9B9" w14:textId="345C3D2C" w:rsidR="00290C9C" w:rsidRPr="00887F34" w:rsidRDefault="00290C9C" w:rsidP="00290C9C">
      <w:r>
        <w:t>The Chair also noted the recent commencement of the HTA Review’s Consultation 2 and the associated Options Paper. Led by the Chair, CWG members discussed elements within the Options Paper which may serve as enablers to the co-design work. Of note, the “</w:t>
      </w:r>
      <w:r>
        <w:rPr>
          <w:i/>
          <w:iCs/>
        </w:rPr>
        <w:t xml:space="preserve">Transparency, communication, and stakeholder involvement in HTA” </w:t>
      </w:r>
      <w:r>
        <w:t xml:space="preserve">section of the paper strongly aligned with </w:t>
      </w:r>
      <w:r w:rsidR="007933ED">
        <w:t>draft</w:t>
      </w:r>
      <w:r>
        <w:t xml:space="preserve"> </w:t>
      </w:r>
      <w:r w:rsidRPr="00887F34">
        <w:t xml:space="preserve">recommendations for enhanced consumer engagement </w:t>
      </w:r>
      <w:r w:rsidR="007933ED" w:rsidRPr="00887F34">
        <w:t xml:space="preserve">being developed by </w:t>
      </w:r>
      <w:r w:rsidRPr="00887F34">
        <w:t>the CWG.</w:t>
      </w:r>
      <w:r w:rsidR="007933ED" w:rsidRPr="00887F34">
        <w:t xml:space="preserve"> It was agreed that the CWG would provide a submission to the HTA Review consultation to reflect this alignment.</w:t>
      </w:r>
    </w:p>
    <w:p w14:paraId="545AEF35" w14:textId="57CED665" w:rsidR="004C2B38" w:rsidRPr="00842377" w:rsidRDefault="00290C9C" w:rsidP="004C2B38">
      <w:pPr>
        <w:pStyle w:val="Heading3"/>
      </w:pPr>
      <w:r>
        <w:t>Review of documents</w:t>
      </w:r>
      <w:r w:rsidR="007933ED">
        <w:t xml:space="preserve"> arising from Workshop #1</w:t>
      </w:r>
    </w:p>
    <w:p w14:paraId="67F23F9A" w14:textId="7631B9E3" w:rsidR="00290C9C" w:rsidRDefault="00290C9C" w:rsidP="004C2B38">
      <w:r>
        <w:t>Prior to the workshop, CWG members reviewed and provided comment on a draft consultation document developed by the independent facilitators</w:t>
      </w:r>
      <w:r w:rsidR="00745DDC">
        <w:t>,</w:t>
      </w:r>
      <w:r>
        <w:t xml:space="preserve"> from </w:t>
      </w:r>
      <w:r w:rsidR="007933ED">
        <w:t xml:space="preserve">outcomes of </w:t>
      </w:r>
      <w:r>
        <w:t>the CWG Workshop #1 (15 and 16 November 2023). Items from this document requiring further consideration by members were discussed and agreed upon.</w:t>
      </w:r>
    </w:p>
    <w:p w14:paraId="148F7E1E" w14:textId="3E06D9F0" w:rsidR="00290C9C" w:rsidRDefault="007933ED" w:rsidP="004C2B38">
      <w:r>
        <w:t xml:space="preserve">CWG members </w:t>
      </w:r>
      <w:r w:rsidR="00745DDC">
        <w:t xml:space="preserve">also </w:t>
      </w:r>
      <w:r>
        <w:t>considered and agreed on the presentation of the draft recommendations for consultation. This</w:t>
      </w:r>
      <w:r w:rsidR="00745DDC">
        <w:t xml:space="preserve"> was noted as important</w:t>
      </w:r>
      <w:r>
        <w:t xml:space="preserve">, to ensure context is provided and to promote understanding for stakeholders’ participation in the consultation. Draft documents of the agreed content and formatting of the consultation document, </w:t>
      </w:r>
      <w:r w:rsidR="00FB474B">
        <w:t xml:space="preserve">and the formatted </w:t>
      </w:r>
      <w:r>
        <w:t>survey</w:t>
      </w:r>
      <w:r w:rsidR="00FB474B">
        <w:t xml:space="preserve"> questions</w:t>
      </w:r>
      <w:r>
        <w:t xml:space="preserve">, will be </w:t>
      </w:r>
      <w:r w:rsidR="00FB474B">
        <w:t>prepared</w:t>
      </w:r>
      <w:r>
        <w:t xml:space="preserve"> by the independent facilitator. Members will review these items prior to the next CWG meeting.</w:t>
      </w:r>
    </w:p>
    <w:p w14:paraId="1BDBEE2F" w14:textId="27E39DC9" w:rsidR="004C2B38" w:rsidRPr="00A24999" w:rsidRDefault="004C2B38" w:rsidP="004C2B38">
      <w:pPr>
        <w:pStyle w:val="Heading3"/>
      </w:pPr>
      <w:r>
        <w:lastRenderedPageBreak/>
        <w:t>Co</w:t>
      </w:r>
      <w:r w:rsidR="007933ED">
        <w:t>nsultation planning</w:t>
      </w:r>
    </w:p>
    <w:p w14:paraId="6832EAC6" w14:textId="32D295C9" w:rsidR="00745DDC" w:rsidRDefault="004C2B38" w:rsidP="004C2B38">
      <w:r>
        <w:t xml:space="preserve">Members noted the importance of transparency of the co-design work being undertaken and the intent for consultation </w:t>
      </w:r>
      <w:r w:rsidR="00745DDC">
        <w:t xml:space="preserve">to include a broad range of </w:t>
      </w:r>
      <w:r>
        <w:t>stakeholders</w:t>
      </w:r>
      <w:r w:rsidR="00745DDC">
        <w:t>. It was agreed that a consultation plan be developed which included communication materials and identification of stakeholder groups for inclusion in the planned consultation. Draft communication materials will be prepared and circulated to members for their review prior to the next CWG meeting.</w:t>
      </w:r>
    </w:p>
    <w:p w14:paraId="5F4D5478" w14:textId="1E7FC39E" w:rsidR="004C2B38" w:rsidRDefault="00887F34" w:rsidP="004C2B38">
      <w:r>
        <w:t>A revised CWG work schedule was agreed, to align with the actions and activities required to finalise and deploy the consultation, review consultation feedback</w:t>
      </w:r>
      <w:r w:rsidR="005A10CC">
        <w:t>,</w:t>
      </w:r>
      <w:r>
        <w:t xml:space="preserve"> and develop recommendations for an Enhanced Consumer Engagement Process Report, for consideration by the Minister for Health and Aged Care.</w:t>
      </w:r>
    </w:p>
    <w:p w14:paraId="2EDB5BB0" w14:textId="6228FA70" w:rsidR="004C2B38" w:rsidRPr="00892617" w:rsidRDefault="004C2B38" w:rsidP="004C2B38">
      <w:pPr>
        <w:pStyle w:val="Heading3"/>
      </w:pPr>
      <w:r w:rsidRPr="00414EC9">
        <w:t>Meeting close</w:t>
      </w:r>
    </w:p>
    <w:p w14:paraId="75EB0845" w14:textId="1F513D9E" w:rsidR="0098122D" w:rsidRPr="0098122D" w:rsidRDefault="004C2B38" w:rsidP="0098122D">
      <w:r w:rsidRPr="007C7B43">
        <w:t xml:space="preserve">The </w:t>
      </w:r>
      <w:r>
        <w:t xml:space="preserve">independent facilitator </w:t>
      </w:r>
      <w:r w:rsidRPr="007C7B43">
        <w:t>noted th</w:t>
      </w:r>
      <w:r>
        <w:t xml:space="preserve">at </w:t>
      </w:r>
      <w:r w:rsidR="00745DDC">
        <w:t>an Actions Log would be circulated</w:t>
      </w:r>
      <w:r w:rsidR="00513CA5">
        <w:t xml:space="preserve"> to CWG members</w:t>
      </w:r>
      <w:r w:rsidR="00745DDC">
        <w:t xml:space="preserve"> post-meeting, reflecting the agreed outcomes and next steps. D</w:t>
      </w:r>
      <w:r>
        <w:t>raft materials w</w:t>
      </w:r>
      <w:r w:rsidR="00745DDC">
        <w:t>ill</w:t>
      </w:r>
      <w:r>
        <w:t xml:space="preserve"> be circulated for</w:t>
      </w:r>
      <w:r w:rsidR="000602E8">
        <w:t xml:space="preserve"> members to </w:t>
      </w:r>
      <w:r>
        <w:t xml:space="preserve">review </w:t>
      </w:r>
      <w:r w:rsidR="00745DDC">
        <w:t>in preparation for the next CWG workshop, to be held on 22 February 2024.</w:t>
      </w:r>
    </w:p>
    <w:sectPr w:rsidR="0098122D" w:rsidRPr="0098122D" w:rsidSect="00223B0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C49A" w14:textId="77777777" w:rsidR="000379B0" w:rsidRDefault="000379B0" w:rsidP="006B56BB">
      <w:r>
        <w:separator/>
      </w:r>
    </w:p>
    <w:p w14:paraId="46F72E5F" w14:textId="77777777" w:rsidR="000379B0" w:rsidRDefault="000379B0"/>
  </w:endnote>
  <w:endnote w:type="continuationSeparator" w:id="0">
    <w:p w14:paraId="01FED632" w14:textId="77777777" w:rsidR="000379B0" w:rsidRDefault="000379B0" w:rsidP="006B56BB">
      <w:r>
        <w:continuationSeparator/>
      </w:r>
    </w:p>
    <w:p w14:paraId="286BF87C" w14:textId="77777777" w:rsidR="000379B0" w:rsidRDefault="000379B0"/>
  </w:endnote>
  <w:endnote w:type="continuationNotice" w:id="1">
    <w:p w14:paraId="1650AEBE" w14:textId="77777777" w:rsidR="000379B0" w:rsidRDefault="000379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18E6" w14:textId="77777777" w:rsidR="00FB474B" w:rsidRDefault="00FB4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2E1" w14:textId="74F6DD71" w:rsidR="008D48C9" w:rsidRPr="0068134A" w:rsidRDefault="002C5D82" w:rsidP="00FB11F4">
    <w:pPr>
      <w:pStyle w:val="Footer"/>
    </w:pPr>
    <w:r w:rsidRPr="00FB11F4">
      <w:t xml:space="preserve">Co-design of an Enhanced Consumer Engagement Process – Communique – </w:t>
    </w:r>
    <w:r w:rsidR="00745DDC">
      <w:t>29 January 2024</w:t>
    </w:r>
    <w:sdt>
      <w:sdtPr>
        <w:id w:val="544643613"/>
        <w:docPartObj>
          <w:docPartGallery w:val="Page Numbers (Bottom of Page)"/>
          <w:docPartUnique/>
        </w:docPartObj>
      </w:sdtPr>
      <w:sdtContent>
        <w:r w:rsidR="0068134A">
          <w:tab/>
        </w:r>
        <w:r w:rsidR="0068134A" w:rsidRPr="003D033A">
          <w:fldChar w:fldCharType="begin"/>
        </w:r>
        <w:r w:rsidR="0068134A" w:rsidRPr="003D033A">
          <w:instrText xml:space="preserve"> PAGE   \* MERGEFORMAT </w:instrText>
        </w:r>
        <w:r w:rsidR="0068134A" w:rsidRPr="003D033A">
          <w:fldChar w:fldCharType="separate"/>
        </w:r>
        <w:r w:rsidR="00AC24B7">
          <w:rPr>
            <w:noProof/>
          </w:rPr>
          <w:t>7</w:t>
        </w:r>
        <w:r w:rsidR="0068134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83F6" w14:textId="44D9BC6B" w:rsidR="0068134A" w:rsidRPr="00FB11F4" w:rsidRDefault="004C2B38" w:rsidP="00FB11F4">
    <w:pPr>
      <w:pStyle w:val="Footer"/>
    </w:pPr>
    <w:r w:rsidRPr="00FB11F4">
      <w:t xml:space="preserve">Co-design of an Enhanced Consumer Engagement Process </w:t>
    </w:r>
    <w:r w:rsidR="0098122D" w:rsidRPr="00FB11F4">
      <w:t>–</w:t>
    </w:r>
    <w:r w:rsidRPr="00FB11F4">
      <w:t xml:space="preserve"> </w:t>
    </w:r>
    <w:r w:rsidR="0098122D" w:rsidRPr="00FB11F4">
      <w:t>Communique –</w:t>
    </w:r>
    <w:r w:rsidR="000A073B" w:rsidRPr="00FB11F4">
      <w:t xml:space="preserve"> </w:t>
    </w:r>
    <w:r w:rsidR="007933ED">
      <w:t>29 January 2024</w:t>
    </w:r>
    <w:sdt>
      <w:sdtPr>
        <w:id w:val="-183903453"/>
        <w:docPartObj>
          <w:docPartGallery w:val="Page Numbers (Bottom of Page)"/>
          <w:docPartUnique/>
        </w:docPartObj>
      </w:sdtPr>
      <w:sdtContent>
        <w:r w:rsidR="003D033A" w:rsidRPr="00FB11F4">
          <w:tab/>
        </w:r>
        <w:r w:rsidR="003D033A" w:rsidRPr="00FB11F4">
          <w:fldChar w:fldCharType="begin"/>
        </w:r>
        <w:r w:rsidR="003D033A" w:rsidRPr="00FB11F4">
          <w:instrText xml:space="preserve"> PAGE   \* MERGEFORMAT </w:instrText>
        </w:r>
        <w:r w:rsidR="003D033A" w:rsidRPr="00FB11F4">
          <w:fldChar w:fldCharType="separate"/>
        </w:r>
        <w:r w:rsidR="000C243A" w:rsidRPr="00FB11F4">
          <w:t>1</w:t>
        </w:r>
        <w:r w:rsidR="003D033A" w:rsidRPr="00FB11F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FF2A" w14:textId="77777777" w:rsidR="000379B0" w:rsidRDefault="000379B0" w:rsidP="006B56BB">
      <w:r>
        <w:separator/>
      </w:r>
    </w:p>
    <w:p w14:paraId="418BB285" w14:textId="77777777" w:rsidR="000379B0" w:rsidRDefault="000379B0"/>
  </w:footnote>
  <w:footnote w:type="continuationSeparator" w:id="0">
    <w:p w14:paraId="37BEFCFE" w14:textId="77777777" w:rsidR="000379B0" w:rsidRDefault="000379B0" w:rsidP="006B56BB">
      <w:r>
        <w:continuationSeparator/>
      </w:r>
    </w:p>
    <w:p w14:paraId="34FC71B1" w14:textId="77777777" w:rsidR="000379B0" w:rsidRDefault="000379B0"/>
  </w:footnote>
  <w:footnote w:type="continuationNotice" w:id="1">
    <w:p w14:paraId="19A94B19" w14:textId="77777777" w:rsidR="000379B0" w:rsidRDefault="000379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A952" w14:textId="0170E3A8" w:rsidR="00FB474B" w:rsidRDefault="00FB4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297A" w14:textId="62DA5302" w:rsidR="00FB474B" w:rsidRDefault="00FB4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7CA5" w14:textId="250D11CE" w:rsidR="008D48C9" w:rsidRDefault="001571C7">
    <w:pPr>
      <w:pStyle w:val="Header"/>
    </w:pPr>
    <w:r>
      <w:rPr>
        <w:noProof/>
        <w:lang w:eastAsia="en-AU"/>
      </w:rPr>
      <w:drawing>
        <wp:inline distT="0" distB="0" distL="0" distR="0" wp14:anchorId="7D6531A2" wp14:editId="2E2E1B79">
          <wp:extent cx="5765470" cy="958215"/>
          <wp:effectExtent l="0" t="0" r="635"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7C1437"/>
    <w:multiLevelType w:val="hybridMultilevel"/>
    <w:tmpl w:val="6448B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05833371">
    <w:abstractNumId w:val="7"/>
  </w:num>
  <w:num w:numId="2" w16cid:durableId="136727635">
    <w:abstractNumId w:val="24"/>
  </w:num>
  <w:num w:numId="3" w16cid:durableId="235825222">
    <w:abstractNumId w:val="31"/>
  </w:num>
  <w:num w:numId="4" w16cid:durableId="2023509205">
    <w:abstractNumId w:val="8"/>
  </w:num>
  <w:num w:numId="5" w16cid:durableId="1791822256">
    <w:abstractNumId w:val="8"/>
    <w:lvlOverride w:ilvl="0">
      <w:startOverride w:val="1"/>
    </w:lvlOverride>
  </w:num>
  <w:num w:numId="6" w16cid:durableId="416487120">
    <w:abstractNumId w:val="11"/>
  </w:num>
  <w:num w:numId="7" w16cid:durableId="434444360">
    <w:abstractNumId w:val="20"/>
  </w:num>
  <w:num w:numId="8" w16cid:durableId="362751147">
    <w:abstractNumId w:val="30"/>
  </w:num>
  <w:num w:numId="9" w16cid:durableId="1371421114">
    <w:abstractNumId w:val="5"/>
  </w:num>
  <w:num w:numId="10" w16cid:durableId="1218543225">
    <w:abstractNumId w:val="4"/>
  </w:num>
  <w:num w:numId="11" w16cid:durableId="742146748">
    <w:abstractNumId w:val="3"/>
  </w:num>
  <w:num w:numId="12" w16cid:durableId="615258616">
    <w:abstractNumId w:val="2"/>
  </w:num>
  <w:num w:numId="13" w16cid:durableId="1205408693">
    <w:abstractNumId w:val="6"/>
  </w:num>
  <w:num w:numId="14" w16cid:durableId="1116561205">
    <w:abstractNumId w:val="1"/>
  </w:num>
  <w:num w:numId="15" w16cid:durableId="1441223289">
    <w:abstractNumId w:val="0"/>
  </w:num>
  <w:num w:numId="16" w16cid:durableId="1507791199">
    <w:abstractNumId w:val="33"/>
  </w:num>
  <w:num w:numId="17" w16cid:durableId="826748578">
    <w:abstractNumId w:val="13"/>
  </w:num>
  <w:num w:numId="18" w16cid:durableId="268587860">
    <w:abstractNumId w:val="14"/>
  </w:num>
  <w:num w:numId="19" w16cid:durableId="583149993">
    <w:abstractNumId w:val="16"/>
  </w:num>
  <w:num w:numId="20" w16cid:durableId="406614505">
    <w:abstractNumId w:val="17"/>
  </w:num>
  <w:num w:numId="21" w16cid:durableId="1584023879">
    <w:abstractNumId w:val="32"/>
  </w:num>
  <w:num w:numId="22" w16cid:durableId="1270233570">
    <w:abstractNumId w:val="10"/>
  </w:num>
  <w:num w:numId="23" w16cid:durableId="611401788">
    <w:abstractNumId w:val="13"/>
  </w:num>
  <w:num w:numId="24" w16cid:durableId="1022513200">
    <w:abstractNumId w:val="16"/>
  </w:num>
  <w:num w:numId="25" w16cid:durableId="2003729646">
    <w:abstractNumId w:val="31"/>
  </w:num>
  <w:num w:numId="26" w16cid:durableId="1946763033">
    <w:abstractNumId w:val="8"/>
  </w:num>
  <w:num w:numId="27" w16cid:durableId="312611862">
    <w:abstractNumId w:val="18"/>
  </w:num>
  <w:num w:numId="28" w16cid:durableId="511605125">
    <w:abstractNumId w:val="28"/>
  </w:num>
  <w:num w:numId="29" w16cid:durableId="1330907870">
    <w:abstractNumId w:val="21"/>
  </w:num>
  <w:num w:numId="30" w16cid:durableId="238638011">
    <w:abstractNumId w:val="23"/>
  </w:num>
  <w:num w:numId="31" w16cid:durableId="26371822">
    <w:abstractNumId w:val="12"/>
  </w:num>
  <w:num w:numId="32" w16cid:durableId="562981981">
    <w:abstractNumId w:val="9"/>
  </w:num>
  <w:num w:numId="33" w16cid:durableId="3292123">
    <w:abstractNumId w:val="15"/>
  </w:num>
  <w:num w:numId="34" w16cid:durableId="1468426813">
    <w:abstractNumId w:val="19"/>
  </w:num>
  <w:num w:numId="35" w16cid:durableId="1428770723">
    <w:abstractNumId w:val="29"/>
  </w:num>
  <w:num w:numId="36" w16cid:durableId="316422354">
    <w:abstractNumId w:val="26"/>
  </w:num>
  <w:num w:numId="37" w16cid:durableId="33426151">
    <w:abstractNumId w:val="27"/>
  </w:num>
  <w:num w:numId="38" w16cid:durableId="1115557363">
    <w:abstractNumId w:val="25"/>
  </w:num>
  <w:num w:numId="39" w16cid:durableId="2153160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B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379B0"/>
    <w:rsid w:val="00046FF0"/>
    <w:rsid w:val="00050176"/>
    <w:rsid w:val="000602E8"/>
    <w:rsid w:val="00067456"/>
    <w:rsid w:val="00071506"/>
    <w:rsid w:val="0007154F"/>
    <w:rsid w:val="00081AB1"/>
    <w:rsid w:val="00082303"/>
    <w:rsid w:val="00090316"/>
    <w:rsid w:val="00093981"/>
    <w:rsid w:val="000A073B"/>
    <w:rsid w:val="000A52A9"/>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2ED"/>
    <w:rsid w:val="001D7869"/>
    <w:rsid w:val="002026CD"/>
    <w:rsid w:val="002033FC"/>
    <w:rsid w:val="002044BB"/>
    <w:rsid w:val="00204894"/>
    <w:rsid w:val="00210B09"/>
    <w:rsid w:val="00210C9E"/>
    <w:rsid w:val="00211840"/>
    <w:rsid w:val="00220E5F"/>
    <w:rsid w:val="002212B5"/>
    <w:rsid w:val="00223B0F"/>
    <w:rsid w:val="00226668"/>
    <w:rsid w:val="00231E97"/>
    <w:rsid w:val="00233809"/>
    <w:rsid w:val="00234364"/>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0C9C"/>
    <w:rsid w:val="00295AF2"/>
    <w:rsid w:val="00295C91"/>
    <w:rsid w:val="00297151"/>
    <w:rsid w:val="002B20E6"/>
    <w:rsid w:val="002B42A3"/>
    <w:rsid w:val="002C0696"/>
    <w:rsid w:val="002C0CDD"/>
    <w:rsid w:val="002C38C4"/>
    <w:rsid w:val="002C5D82"/>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445"/>
    <w:rsid w:val="00360E4E"/>
    <w:rsid w:val="00370AAA"/>
    <w:rsid w:val="00373CEA"/>
    <w:rsid w:val="00375F77"/>
    <w:rsid w:val="00377DF8"/>
    <w:rsid w:val="00381BBE"/>
    <w:rsid w:val="00382903"/>
    <w:rsid w:val="003846FF"/>
    <w:rsid w:val="003857D4"/>
    <w:rsid w:val="00385AD4"/>
    <w:rsid w:val="00387924"/>
    <w:rsid w:val="00392253"/>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E0E"/>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2B38"/>
    <w:rsid w:val="004C6BCF"/>
    <w:rsid w:val="004D30D5"/>
    <w:rsid w:val="004D58BF"/>
    <w:rsid w:val="004E4335"/>
    <w:rsid w:val="004E621B"/>
    <w:rsid w:val="004F13EE"/>
    <w:rsid w:val="004F2022"/>
    <w:rsid w:val="004F7C05"/>
    <w:rsid w:val="00501C94"/>
    <w:rsid w:val="00506432"/>
    <w:rsid w:val="00513CA5"/>
    <w:rsid w:val="0052051D"/>
    <w:rsid w:val="0052196D"/>
    <w:rsid w:val="00545EE6"/>
    <w:rsid w:val="0054768D"/>
    <w:rsid w:val="0055022A"/>
    <w:rsid w:val="005550E7"/>
    <w:rsid w:val="005564FB"/>
    <w:rsid w:val="005572C7"/>
    <w:rsid w:val="005622C2"/>
    <w:rsid w:val="005650ED"/>
    <w:rsid w:val="005679C2"/>
    <w:rsid w:val="00575754"/>
    <w:rsid w:val="00581FBA"/>
    <w:rsid w:val="00591E20"/>
    <w:rsid w:val="00595408"/>
    <w:rsid w:val="00595E84"/>
    <w:rsid w:val="005A0C59"/>
    <w:rsid w:val="005A10CC"/>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A7C28"/>
    <w:rsid w:val="006B2286"/>
    <w:rsid w:val="006B56BB"/>
    <w:rsid w:val="006C77A8"/>
    <w:rsid w:val="006D4098"/>
    <w:rsid w:val="006D7681"/>
    <w:rsid w:val="006D7B2E"/>
    <w:rsid w:val="006E02EA"/>
    <w:rsid w:val="006E0968"/>
    <w:rsid w:val="006E2AF6"/>
    <w:rsid w:val="00701275"/>
    <w:rsid w:val="007033EE"/>
    <w:rsid w:val="00707F56"/>
    <w:rsid w:val="00713558"/>
    <w:rsid w:val="00720D08"/>
    <w:rsid w:val="007263B9"/>
    <w:rsid w:val="00730E51"/>
    <w:rsid w:val="007334F8"/>
    <w:rsid w:val="007339CD"/>
    <w:rsid w:val="007359D8"/>
    <w:rsid w:val="007362D4"/>
    <w:rsid w:val="007375FA"/>
    <w:rsid w:val="00745DDC"/>
    <w:rsid w:val="0076672A"/>
    <w:rsid w:val="00775E45"/>
    <w:rsid w:val="00776E74"/>
    <w:rsid w:val="00785169"/>
    <w:rsid w:val="00787F4B"/>
    <w:rsid w:val="007933ED"/>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87F34"/>
    <w:rsid w:val="0089664B"/>
    <w:rsid w:val="0089677E"/>
    <w:rsid w:val="008A7438"/>
    <w:rsid w:val="008B1334"/>
    <w:rsid w:val="008B25C7"/>
    <w:rsid w:val="008C0278"/>
    <w:rsid w:val="008C24E9"/>
    <w:rsid w:val="008D0533"/>
    <w:rsid w:val="008D16B3"/>
    <w:rsid w:val="008D42CB"/>
    <w:rsid w:val="008D48C9"/>
    <w:rsid w:val="008D6381"/>
    <w:rsid w:val="008E0C77"/>
    <w:rsid w:val="008E15B0"/>
    <w:rsid w:val="008E625F"/>
    <w:rsid w:val="008F264D"/>
    <w:rsid w:val="009040E9"/>
    <w:rsid w:val="009074E1"/>
    <w:rsid w:val="009112F7"/>
    <w:rsid w:val="009122AF"/>
    <w:rsid w:val="00912D54"/>
    <w:rsid w:val="0091389F"/>
    <w:rsid w:val="009176E5"/>
    <w:rsid w:val="009208F7"/>
    <w:rsid w:val="00921649"/>
    <w:rsid w:val="00922517"/>
    <w:rsid w:val="00922722"/>
    <w:rsid w:val="009261E6"/>
    <w:rsid w:val="009268E1"/>
    <w:rsid w:val="00930D87"/>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0709D"/>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2ECE"/>
    <w:rsid w:val="00A8341C"/>
    <w:rsid w:val="00A9211B"/>
    <w:rsid w:val="00A930AE"/>
    <w:rsid w:val="00AA1A95"/>
    <w:rsid w:val="00AA260F"/>
    <w:rsid w:val="00AB1EE7"/>
    <w:rsid w:val="00AB4B37"/>
    <w:rsid w:val="00AB5762"/>
    <w:rsid w:val="00AC24B7"/>
    <w:rsid w:val="00AC2679"/>
    <w:rsid w:val="00AC4BE4"/>
    <w:rsid w:val="00AC559A"/>
    <w:rsid w:val="00AD05E6"/>
    <w:rsid w:val="00AD0D3F"/>
    <w:rsid w:val="00AE1D7D"/>
    <w:rsid w:val="00AE2A8B"/>
    <w:rsid w:val="00AE3F64"/>
    <w:rsid w:val="00AF02EC"/>
    <w:rsid w:val="00AF7386"/>
    <w:rsid w:val="00AF7934"/>
    <w:rsid w:val="00B00B81"/>
    <w:rsid w:val="00B04580"/>
    <w:rsid w:val="00B04B09"/>
    <w:rsid w:val="00B16A51"/>
    <w:rsid w:val="00B32222"/>
    <w:rsid w:val="00B3618D"/>
    <w:rsid w:val="00B36233"/>
    <w:rsid w:val="00B42851"/>
    <w:rsid w:val="00B45AC7"/>
    <w:rsid w:val="00B5372F"/>
    <w:rsid w:val="00B54577"/>
    <w:rsid w:val="00B57F16"/>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3316"/>
    <w:rsid w:val="00C4631F"/>
    <w:rsid w:val="00C47CDE"/>
    <w:rsid w:val="00C50E16"/>
    <w:rsid w:val="00C55258"/>
    <w:rsid w:val="00C82EEB"/>
    <w:rsid w:val="00C971DC"/>
    <w:rsid w:val="00CA16B7"/>
    <w:rsid w:val="00CA556A"/>
    <w:rsid w:val="00CA62AE"/>
    <w:rsid w:val="00CB5B1A"/>
    <w:rsid w:val="00CC220B"/>
    <w:rsid w:val="00CC29BA"/>
    <w:rsid w:val="00CC5C43"/>
    <w:rsid w:val="00CD02AE"/>
    <w:rsid w:val="00CD2A4F"/>
    <w:rsid w:val="00CE03CA"/>
    <w:rsid w:val="00CE22F1"/>
    <w:rsid w:val="00CE50F2"/>
    <w:rsid w:val="00CE6502"/>
    <w:rsid w:val="00CF2331"/>
    <w:rsid w:val="00CF7D3C"/>
    <w:rsid w:val="00D01F09"/>
    <w:rsid w:val="00D07C4B"/>
    <w:rsid w:val="00D147EB"/>
    <w:rsid w:val="00D34667"/>
    <w:rsid w:val="00D401E1"/>
    <w:rsid w:val="00D408B4"/>
    <w:rsid w:val="00D524C8"/>
    <w:rsid w:val="00D54187"/>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27D5"/>
    <w:rsid w:val="00DF486F"/>
    <w:rsid w:val="00DF5B5B"/>
    <w:rsid w:val="00DF7619"/>
    <w:rsid w:val="00E042D8"/>
    <w:rsid w:val="00E07EE7"/>
    <w:rsid w:val="00E1103B"/>
    <w:rsid w:val="00E17B44"/>
    <w:rsid w:val="00E20F27"/>
    <w:rsid w:val="00E22443"/>
    <w:rsid w:val="00E27FEA"/>
    <w:rsid w:val="00E37240"/>
    <w:rsid w:val="00E4086F"/>
    <w:rsid w:val="00E43B3C"/>
    <w:rsid w:val="00E50188"/>
    <w:rsid w:val="00E50BB3"/>
    <w:rsid w:val="00E515CB"/>
    <w:rsid w:val="00E52260"/>
    <w:rsid w:val="00E60CC5"/>
    <w:rsid w:val="00E639B6"/>
    <w:rsid w:val="00E6434B"/>
    <w:rsid w:val="00E6463D"/>
    <w:rsid w:val="00E72E9B"/>
    <w:rsid w:val="00E7395A"/>
    <w:rsid w:val="00E80C94"/>
    <w:rsid w:val="00E850C3"/>
    <w:rsid w:val="00E86762"/>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11F4"/>
    <w:rsid w:val="00FB474B"/>
    <w:rsid w:val="00FB6F92"/>
    <w:rsid w:val="00FB7859"/>
    <w:rsid w:val="00FC026E"/>
    <w:rsid w:val="00FC5124"/>
    <w:rsid w:val="00FD4731"/>
    <w:rsid w:val="00FD6768"/>
    <w:rsid w:val="00FD6FC2"/>
    <w:rsid w:val="00FE15B9"/>
    <w:rsid w:val="00FF0AB0"/>
    <w:rsid w:val="00FF28AC"/>
    <w:rsid w:val="00FF3B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354C8"/>
  <w15:docId w15:val="{94B77AD9-5E61-49ED-BD7D-F2FE60FF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679C2"/>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ind w:left="714" w:hanging="357"/>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FB11F4"/>
    <w:pPr>
      <w:tabs>
        <w:tab w:val="center" w:pos="4513"/>
        <w:tab w:val="right" w:pos="9026"/>
      </w:tabs>
    </w:pPr>
    <w:rPr>
      <w:sz w:val="18"/>
      <w:szCs w:val="22"/>
    </w:rPr>
  </w:style>
  <w:style w:type="character" w:customStyle="1" w:styleId="FooterChar">
    <w:name w:val="Footer Char"/>
    <w:basedOn w:val="DefaultParagraphFont"/>
    <w:link w:val="Footer"/>
    <w:uiPriority w:val="99"/>
    <w:rsid w:val="00FB11F4"/>
    <w:rPr>
      <w:rFonts w:ascii="Arial" w:hAnsi="Arial"/>
      <w:sz w:val="18"/>
      <w:szCs w:val="22"/>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styleId="Revision">
    <w:name w:val="Revision"/>
    <w:hidden/>
    <w:uiPriority w:val="99"/>
    <w:semiHidden/>
    <w:rsid w:val="00DF27D5"/>
    <w:rPr>
      <w:rFonts w:ascii="Arial" w:hAnsi="Arial"/>
      <w:sz w:val="22"/>
      <w:szCs w:val="24"/>
      <w:lang w:eastAsia="en-US"/>
    </w:rPr>
  </w:style>
  <w:style w:type="character" w:styleId="UnresolvedMention">
    <w:name w:val="Unresolved Mention"/>
    <w:basedOn w:val="DefaultParagraphFont"/>
    <w:uiPriority w:val="99"/>
    <w:semiHidden/>
    <w:unhideWhenUsed/>
    <w:rsid w:val="00917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bs.gov.au/info/general/medicines-industry-strategic-agre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lu\Downloads\Department-of-Health-and-Aged-Care-Committee-or-group-meetings-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3</Value>
      <Value>23</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1555f834-eac3-4b05-99b9-03eafaec147f</TermId>
        </TermInfo>
      </Terms>
    </p76df81b8fed4a2fa2af18761f9ff90d>
    <_dlc_DocIdPersistId xmlns="d29d5f7a-be03-4e9c-abe5-c85ece0a2186" xsi:nil="true"/>
    <_dlc_DocIdUrl xmlns="d29d5f7a-be03-4e9c-abe5-c85ece0a2186">
      <Url>https://healthgov.sharepoint.com/sites/support-comms/_layouts/15/DocIdRedir.aspx?ID=INTCOMMS-1466148216-34</Url>
      <Description>INTCOMMS-1466148216-34</Description>
    </_dlc_DocIdUrl>
    <Last_x0020_reviewed xmlns="d29d5f7a-be03-4e9c-abe5-c85ece0a2186">2023-05-10T14:00:00+00:00</Last_x0020_reviewed>
    <_dlc_DocId xmlns="d29d5f7a-be03-4e9c-abe5-c85ece0a2186">INTCOMMS-1466148216-34</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5e65d37f-4b10-44ee-87ae-c9dbb2b07f38</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web@health.gov.au</TermName>
          <TermId xmlns="http://schemas.microsoft.com/office/infopath/2007/PartnerControls">9c0e99c0-9c06-48e0-bcb6-4a6a27dffa4f</TermId>
        </TermInfo>
      </Terms>
    </jf042baad2b143719d8a0cfd36411dfb>
  </documentManagement>
</p:properties>
</file>

<file path=customXml/itemProps1.xml><?xml version="1.0" encoding="utf-8"?>
<ds:datastoreItem xmlns:ds="http://schemas.openxmlformats.org/officeDocument/2006/customXml" ds:itemID="{C3BA9F1F-A747-45B5-A6BC-DA7AA6F16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8F2A7726-07C1-4E87-895D-67A93DF92E30}">
  <ds:schemaRefs>
    <ds:schemaRef ds:uri="http://schemas.microsoft.com/sharepoint/events"/>
  </ds:schemaRefs>
</ds:datastoreItem>
</file>

<file path=customXml/itemProps4.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docProps/app.xml><?xml version="1.0" encoding="utf-8"?>
<Properties xmlns="http://schemas.openxmlformats.org/officeDocument/2006/extended-properties" xmlns:vt="http://schemas.openxmlformats.org/officeDocument/2006/docPropsVTypes">
  <Template>Department-of-Health-and-Aged-Care-Committee-or-group-meetings-template.dotx</Template>
  <TotalTime>1</TotalTime>
  <Pages>2</Pages>
  <Words>505</Words>
  <Characters>2865</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Co-design of an Enhanced Consumer Engagement Process – Communique – 29 January 2024</vt:lpstr>
    </vt:vector>
  </TitlesOfParts>
  <Manager/>
  <Company/>
  <LinksUpToDate>false</LinksUpToDate>
  <CharactersWithSpaces>3357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Co-design of an Enhanced Consumer Engagement Process – Communique – 29 January 2024</dc:title>
  <dc:subject>Health technologies and digital health</dc:subject>
  <dc:creator>Australian Government Department of Health and Aged Care</dc:creator>
  <cp:keywords>Health technologies and digital health; Medicines; Health Technology Assessment Consumer Consultative Committee; Health Technology Assessment Policy and Methods Review</cp:keywords>
  <dc:description/>
  <cp:revision>3</cp:revision>
  <dcterms:created xsi:type="dcterms:W3CDTF">2024-02-21T23:03:00Z</dcterms:created>
  <dcterms:modified xsi:type="dcterms:W3CDTF">2024-02-21T23:25:00Z</dcterms:modified>
  <cp:category/>
</cp:coreProperties>
</file>