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17D00" w14:textId="76CB6E9F" w:rsidR="00BA2732" w:rsidRDefault="0089664B" w:rsidP="0068134A">
      <w:pPr>
        <w:pStyle w:val="Heading1"/>
      </w:pPr>
      <w:r w:rsidRPr="0089664B">
        <w:t>Co-design of an Enhanced Consumer Engagement Proces</w:t>
      </w:r>
      <w:r w:rsidR="00377DF8">
        <w:t>s Working Group</w:t>
      </w:r>
    </w:p>
    <w:p w14:paraId="399B0AF7" w14:textId="27909F77" w:rsidR="0054768D" w:rsidRPr="00231E97" w:rsidRDefault="005679C2" w:rsidP="00231E97">
      <w:pPr>
        <w:pStyle w:val="Heading2"/>
      </w:pPr>
      <w:r w:rsidRPr="00231E97">
        <w:t xml:space="preserve">Communique – Co-design Workshop #1 – </w:t>
      </w:r>
      <w:bookmarkStart w:id="0" w:name="_Hlk157093510"/>
      <w:r w:rsidRPr="00231E97">
        <w:t>15 and 16 November 2023</w:t>
      </w:r>
      <w:bookmarkEnd w:id="0"/>
    </w:p>
    <w:p w14:paraId="4DDAF97D" w14:textId="209A4A57" w:rsidR="004C2B38" w:rsidRPr="00E51BED" w:rsidRDefault="004C2B38" w:rsidP="004C2B38">
      <w:r>
        <w:t xml:space="preserve">The Co-design Working Group (CWG) of the Enhanced Consumer Engagement Process attended a </w:t>
      </w:r>
      <w:r w:rsidR="00204894">
        <w:t>‘Discover and Define’ co-design w</w:t>
      </w:r>
      <w:r>
        <w:t xml:space="preserve">orkshop in Canberra on 15 and 16 November 2023. </w:t>
      </w:r>
      <w:r w:rsidR="00DF27D5">
        <w:t>The workshop was run by i</w:t>
      </w:r>
      <w:r>
        <w:t xml:space="preserve">ndependent facilitators from the Methods and Implementation Support for Clinical and Health (MISCH) Research Hub, Nossal Institute for Global Health, The University of Melbourne, </w:t>
      </w:r>
      <w:r w:rsidR="00DF27D5">
        <w:t>who have been engaged</w:t>
      </w:r>
      <w:r>
        <w:t xml:space="preserve"> to develop and implement the project. </w:t>
      </w:r>
      <w:r w:rsidRPr="00E51BED">
        <w:t>The workshop was hosted by the Secretariat of the CWG, the Department of Health and Aged Care’s Consumer Evidence and Engagement Unit (CEEU)</w:t>
      </w:r>
      <w:r>
        <w:t>.</w:t>
      </w:r>
    </w:p>
    <w:p w14:paraId="64A2126A" w14:textId="77777777" w:rsidR="004C2B38" w:rsidRPr="009F114D" w:rsidRDefault="004C2B38" w:rsidP="004C2B38">
      <w:pPr>
        <w:rPr>
          <w:sz w:val="8"/>
          <w:szCs w:val="8"/>
        </w:rPr>
      </w:pPr>
    </w:p>
    <w:p w14:paraId="38A95CD3" w14:textId="77777777" w:rsidR="004C2B38" w:rsidRDefault="004C2B38" w:rsidP="004C2B38">
      <w:pPr>
        <w:pStyle w:val="Heading2"/>
        <w:spacing w:after="240"/>
      </w:pPr>
      <w:r w:rsidRPr="00FF5384">
        <w:t xml:space="preserve">What did the </w:t>
      </w:r>
      <w:r>
        <w:t>Working Group</w:t>
      </w:r>
      <w:r w:rsidRPr="00FF5384">
        <w:t xml:space="preserve"> </w:t>
      </w:r>
      <w:r w:rsidRPr="0024324A">
        <w:t>discuss</w:t>
      </w:r>
      <w:r w:rsidRPr="00FF5384">
        <w:t>?</w:t>
      </w:r>
    </w:p>
    <w:p w14:paraId="545AEF35" w14:textId="77777777" w:rsidR="004C2B38" w:rsidRPr="00842377" w:rsidRDefault="004C2B38" w:rsidP="004C2B38">
      <w:pPr>
        <w:pStyle w:val="Heading3"/>
      </w:pPr>
      <w:r>
        <w:t>Agreement on a co-design work plan and principles</w:t>
      </w:r>
    </w:p>
    <w:p w14:paraId="37CAE196" w14:textId="77777777" w:rsidR="00204894" w:rsidRDefault="004C2B38" w:rsidP="004C2B38">
      <w:r>
        <w:t xml:space="preserve">A draft co-design work plan, developed in consultation with CWG members prior to the meeting, was endorsed. The work plan was informed by the consumer-led co-design proposal and included background and context, </w:t>
      </w:r>
      <w:r w:rsidR="00204894">
        <w:t xml:space="preserve">the project scope, </w:t>
      </w:r>
      <w:r>
        <w:t xml:space="preserve">co-design </w:t>
      </w:r>
      <w:r w:rsidR="00204894">
        <w:t>methodology</w:t>
      </w:r>
      <w:r>
        <w:t xml:space="preserve">, </w:t>
      </w:r>
      <w:proofErr w:type="gramStart"/>
      <w:r>
        <w:t>roles</w:t>
      </w:r>
      <w:proofErr w:type="gramEnd"/>
      <w:r>
        <w:t xml:space="preserve"> and responsibilities of CWG members and the facilitator, and a proposed work schedule.</w:t>
      </w:r>
      <w:r w:rsidR="00204894">
        <w:t xml:space="preserve"> </w:t>
      </w:r>
    </w:p>
    <w:p w14:paraId="3F9794F4" w14:textId="62F2AE96" w:rsidR="004C2B38" w:rsidRDefault="00204894" w:rsidP="004C2B38">
      <w:r w:rsidRPr="00204894">
        <w:t xml:space="preserve">CWG members agreed to </w:t>
      </w:r>
      <w:r>
        <w:t xml:space="preserve">the following </w:t>
      </w:r>
      <w:r w:rsidRPr="00204894">
        <w:t>design principles to guide the co-design work</w:t>
      </w:r>
      <w:r>
        <w:t>:</w:t>
      </w:r>
    </w:p>
    <w:p w14:paraId="65199183" w14:textId="1458C56F" w:rsidR="00204894" w:rsidRDefault="00204894" w:rsidP="00204894">
      <w:pPr>
        <w:pStyle w:val="ListParagraph"/>
        <w:numPr>
          <w:ilvl w:val="0"/>
          <w:numId w:val="39"/>
        </w:numPr>
      </w:pPr>
      <w:r>
        <w:t xml:space="preserve">Consumer evidence and experience is prioritised and integral in health technology assessment </w:t>
      </w:r>
      <w:r w:rsidR="00E86762">
        <w:t xml:space="preserve">(HTA) </w:t>
      </w:r>
      <w:r>
        <w:t>processes.</w:t>
      </w:r>
    </w:p>
    <w:p w14:paraId="4418A90D" w14:textId="5C4A15CB" w:rsidR="00204894" w:rsidRDefault="00204894" w:rsidP="00204894">
      <w:pPr>
        <w:pStyle w:val="ListParagraph"/>
        <w:numPr>
          <w:ilvl w:val="0"/>
          <w:numId w:val="39"/>
        </w:numPr>
      </w:pPr>
      <w:r>
        <w:t>Recommendations to enhance consumer engagement must not delay access to medicines.</w:t>
      </w:r>
    </w:p>
    <w:p w14:paraId="3CCCCBBD" w14:textId="2CC9E744" w:rsidR="00204894" w:rsidRPr="00204894" w:rsidRDefault="00204894" w:rsidP="00204894">
      <w:pPr>
        <w:pStyle w:val="ListParagraph"/>
        <w:numPr>
          <w:ilvl w:val="0"/>
          <w:numId w:val="39"/>
        </w:numPr>
      </w:pPr>
      <w:r>
        <w:t>Enhancements may be prioritised to achieve maximum impact through implementation.</w:t>
      </w:r>
    </w:p>
    <w:p w14:paraId="353A202B" w14:textId="77777777" w:rsidR="004C2B38" w:rsidRPr="009F114D" w:rsidRDefault="004C2B38" w:rsidP="004C2B38">
      <w:pPr>
        <w:rPr>
          <w:sz w:val="8"/>
          <w:szCs w:val="8"/>
        </w:rPr>
      </w:pPr>
    </w:p>
    <w:p w14:paraId="11F0EF0F" w14:textId="77777777" w:rsidR="004C2B38" w:rsidRPr="00A24999" w:rsidRDefault="004C2B38" w:rsidP="004C2B38">
      <w:pPr>
        <w:pStyle w:val="Heading3"/>
      </w:pPr>
      <w:r>
        <w:t xml:space="preserve">Workshop activities </w:t>
      </w:r>
    </w:p>
    <w:p w14:paraId="50603666" w14:textId="76F95A05" w:rsidR="009176E5" w:rsidRDefault="009176E5" w:rsidP="004C2B38">
      <w:r>
        <w:t xml:space="preserve">CWG members referred to a design brief, prepared by the facilitator, while engaging in workshop activities. The design brief included documentation of issues relevant to consumer engagement from prior consultation reports and policy documents, such as the </w:t>
      </w:r>
      <w:hyperlink r:id="rId12" w:history="1">
        <w:r w:rsidRPr="009176E5">
          <w:rPr>
            <w:rStyle w:val="Hyperlink"/>
            <w:i/>
            <w:iCs/>
          </w:rPr>
          <w:t xml:space="preserve">Conversations for Change </w:t>
        </w:r>
        <w:r w:rsidRPr="009176E5">
          <w:rPr>
            <w:rStyle w:val="Hyperlink"/>
          </w:rPr>
          <w:t>Report</w:t>
        </w:r>
      </w:hyperlink>
      <w:r>
        <w:t xml:space="preserve"> (2023), the </w:t>
      </w:r>
      <w:hyperlink r:id="rId13" w:history="1">
        <w:r w:rsidRPr="009176E5">
          <w:rPr>
            <w:rStyle w:val="Hyperlink"/>
          </w:rPr>
          <w:t>National Medicines Policy</w:t>
        </w:r>
      </w:hyperlink>
      <w:r>
        <w:t xml:space="preserve"> (2022), and </w:t>
      </w:r>
      <w:hyperlink r:id="rId14" w:history="1">
        <w:r w:rsidRPr="009176E5">
          <w:rPr>
            <w:rStyle w:val="Hyperlink"/>
            <w:i/>
            <w:iCs/>
          </w:rPr>
          <w:t>The New Frontier – Delivering better health for all Australian</w:t>
        </w:r>
        <w:r>
          <w:rPr>
            <w:rStyle w:val="Hyperlink"/>
            <w:i/>
            <w:iCs/>
          </w:rPr>
          <w:t xml:space="preserve">s </w:t>
        </w:r>
        <w:r>
          <w:rPr>
            <w:rStyle w:val="Hyperlink"/>
          </w:rPr>
          <w:t>Report</w:t>
        </w:r>
      </w:hyperlink>
      <w:r>
        <w:t xml:space="preserve"> (2021).</w:t>
      </w:r>
    </w:p>
    <w:p w14:paraId="630FD954" w14:textId="56FF73D1" w:rsidR="004C2B38" w:rsidRDefault="004C2B38" w:rsidP="004C2B38">
      <w:r>
        <w:lastRenderedPageBreak/>
        <w:t xml:space="preserve">CWG members participated in </w:t>
      </w:r>
      <w:r w:rsidR="00204894">
        <w:t xml:space="preserve">the following </w:t>
      </w:r>
      <w:r>
        <w:t xml:space="preserve">workshop activities to </w:t>
      </w:r>
      <w:r w:rsidR="00E86762">
        <w:t>progress</w:t>
      </w:r>
      <w:r>
        <w:t xml:space="preserve"> the co-design </w:t>
      </w:r>
      <w:r w:rsidR="00204894">
        <w:t>work</w:t>
      </w:r>
      <w:r>
        <w:t xml:space="preserve">. </w:t>
      </w:r>
    </w:p>
    <w:p w14:paraId="72116545" w14:textId="0E5B79B6" w:rsidR="004C2B38" w:rsidRDefault="009176E5" w:rsidP="004C2B38">
      <w:r>
        <w:t xml:space="preserve">Members developed a map </w:t>
      </w:r>
      <w:r w:rsidR="004C2B38">
        <w:t xml:space="preserve">of the health technology pathway from clinical trials and horizon scanning to Therapeutic Goods Administration (TGA) and </w:t>
      </w:r>
      <w:r w:rsidR="00E86762">
        <w:t>HTA</w:t>
      </w:r>
      <w:r w:rsidR="004C2B38">
        <w:t xml:space="preserve"> committee processes (with specific focus on the Pharmaceutical Benefits Advisory Committee [PBAC] process) and post-market considerations, to identify the activities along this pathway and where consumer engagement may currently occur.</w:t>
      </w:r>
    </w:p>
    <w:p w14:paraId="20670EA4" w14:textId="77777777" w:rsidR="004C2B38" w:rsidRDefault="004C2B38" w:rsidP="004C2B38">
      <w:r>
        <w:t>Members participated in small group discussions on the various stages of this pathway (categorised as: pre-HTA, PBAC applications and agenda, PBAC assessment process, post-PBAC), suggesting where consumer engagement had potential to enhance and inform decision making. This work was collated and refined, further to members discussing and auditing the identified suggestions against the co-design principles.</w:t>
      </w:r>
    </w:p>
    <w:p w14:paraId="79B124C1" w14:textId="4FABB2B0" w:rsidR="004C2B38" w:rsidRPr="0052196D" w:rsidRDefault="004C2B38" w:rsidP="004C2B38">
      <w:r>
        <w:t xml:space="preserve">Members </w:t>
      </w:r>
      <w:r w:rsidR="00E86762">
        <w:t xml:space="preserve">identified and </w:t>
      </w:r>
      <w:r>
        <w:t xml:space="preserve">considered implementation enablers and challenges related to the specific suggestions for enhanced consumer engagement and agreed to a suite of </w:t>
      </w:r>
      <w:r w:rsidR="00204894">
        <w:t>draft</w:t>
      </w:r>
      <w:r>
        <w:t xml:space="preserve"> </w:t>
      </w:r>
      <w:r w:rsidR="00204894">
        <w:t>recommendations</w:t>
      </w:r>
      <w:r>
        <w:t xml:space="preserve"> to be prepared for consultation with the broader consumer and stakeholder sectors.</w:t>
      </w:r>
    </w:p>
    <w:p w14:paraId="1BDBEE2F" w14:textId="77777777" w:rsidR="004C2B38" w:rsidRPr="00A24999" w:rsidRDefault="004C2B38" w:rsidP="004C2B38">
      <w:pPr>
        <w:pStyle w:val="Heading3"/>
      </w:pPr>
      <w:r>
        <w:t xml:space="preserve">Communication of and consultation on co-design work </w:t>
      </w:r>
    </w:p>
    <w:p w14:paraId="5F4D5478" w14:textId="77777777" w:rsidR="004C2B38" w:rsidRDefault="004C2B38" w:rsidP="004C2B38">
      <w:r>
        <w:t xml:space="preserve">Members noted the importance of transparency of the co-design work being undertaken and the intent for consultation with stakeholders to progress this work, as outlined in the co-design work plan. </w:t>
      </w:r>
    </w:p>
    <w:p w14:paraId="34AE5FCD" w14:textId="6055A936" w:rsidR="004C2B38" w:rsidRDefault="004C2B38" w:rsidP="004C2B38">
      <w:r>
        <w:t xml:space="preserve">Members developed a </w:t>
      </w:r>
      <w:r w:rsidR="00204894">
        <w:t xml:space="preserve">draft </w:t>
      </w:r>
      <w:r>
        <w:t xml:space="preserve">consultation survey on the suite of </w:t>
      </w:r>
      <w:r w:rsidR="00204894">
        <w:t>draft recommendations</w:t>
      </w:r>
      <w:r>
        <w:t xml:space="preserve"> for </w:t>
      </w:r>
      <w:r w:rsidR="00E86762">
        <w:t xml:space="preserve">enhanced </w:t>
      </w:r>
      <w:r>
        <w:t>consumer engagement</w:t>
      </w:r>
      <w:r w:rsidR="00204894">
        <w:t>. It was agreed that the survey will</w:t>
      </w:r>
      <w:r>
        <w:t xml:space="preserve"> be deployed and managed by the independent facilitator.  </w:t>
      </w:r>
    </w:p>
    <w:p w14:paraId="19BC7333" w14:textId="64AECDA1" w:rsidR="00204894" w:rsidRDefault="004C2B38" w:rsidP="004C2B38">
      <w:r>
        <w:t>Members agreed</w:t>
      </w:r>
      <w:r w:rsidR="00204894">
        <w:t xml:space="preserve"> that the consultation required the provision of further detail on each of the draft recommendations, to provide context and promote understanding for stakeholders</w:t>
      </w:r>
      <w:r w:rsidR="00E86762">
        <w:t>’</w:t>
      </w:r>
      <w:r w:rsidR="00204894">
        <w:t xml:space="preserve"> participati</w:t>
      </w:r>
      <w:r w:rsidR="00E86762">
        <w:t>on</w:t>
      </w:r>
      <w:r w:rsidR="00204894">
        <w:t xml:space="preserve"> in the consultation.</w:t>
      </w:r>
    </w:p>
    <w:p w14:paraId="6CF1E0BB" w14:textId="77777777" w:rsidR="004C2B38" w:rsidRDefault="004C2B38" w:rsidP="004C2B38">
      <w:r>
        <w:t xml:space="preserve">Members discussed the various channels by which stakeholders might be notified of the consultation, agreeing that consumer, </w:t>
      </w:r>
      <w:proofErr w:type="gramStart"/>
      <w:r>
        <w:t>industry</w:t>
      </w:r>
      <w:proofErr w:type="gramEnd"/>
      <w:r>
        <w:t xml:space="preserve"> and department networks would be utilised via members’ own communication pathways, in addition to promoting the consultation via the CEEU’s e-newsletter, </w:t>
      </w:r>
      <w:proofErr w:type="spellStart"/>
      <w:r w:rsidRPr="00E51BED">
        <w:rPr>
          <w:i/>
          <w:iCs/>
        </w:rPr>
        <w:t>HTAEngage</w:t>
      </w:r>
      <w:proofErr w:type="spellEnd"/>
      <w:r>
        <w:t>.</w:t>
      </w:r>
    </w:p>
    <w:p w14:paraId="496E7DC2" w14:textId="785EC4D9" w:rsidR="004C2B38" w:rsidRDefault="004C2B38" w:rsidP="004C2B38">
      <w:r>
        <w:t xml:space="preserve">It was agreed that the consultation would proceed when finalisation of all elements of the consultation and communication materials were confirmed. </w:t>
      </w:r>
    </w:p>
    <w:p w14:paraId="2EDB5BB0" w14:textId="77777777" w:rsidR="004C2B38" w:rsidRPr="00892617" w:rsidRDefault="004C2B38" w:rsidP="004C2B38">
      <w:pPr>
        <w:pStyle w:val="Heading3"/>
      </w:pPr>
      <w:r w:rsidRPr="00414EC9">
        <w:t xml:space="preserve">Meeting close </w:t>
      </w:r>
    </w:p>
    <w:p w14:paraId="75EB0845" w14:textId="133C7687" w:rsidR="0098122D" w:rsidRPr="0098122D" w:rsidRDefault="004C2B38" w:rsidP="0098122D">
      <w:r w:rsidRPr="007C7B43">
        <w:t xml:space="preserve">The </w:t>
      </w:r>
      <w:r>
        <w:t xml:space="preserve">independent facilitator </w:t>
      </w:r>
      <w:r w:rsidRPr="007C7B43">
        <w:t>noted th</w:t>
      </w:r>
      <w:r>
        <w:t>at draft materials would be circulated to members for review and refinement to enable the next step in the project plan, consultation, to proceed.</w:t>
      </w:r>
    </w:p>
    <w:sectPr w:rsidR="0098122D" w:rsidRPr="0098122D" w:rsidSect="00223B0F">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971EE" w14:textId="77777777" w:rsidR="00E7395A" w:rsidRDefault="00E7395A" w:rsidP="006B56BB">
      <w:r>
        <w:separator/>
      </w:r>
    </w:p>
    <w:p w14:paraId="5C445EF2" w14:textId="77777777" w:rsidR="00E7395A" w:rsidRDefault="00E7395A"/>
  </w:endnote>
  <w:endnote w:type="continuationSeparator" w:id="0">
    <w:p w14:paraId="578D84CE" w14:textId="77777777" w:rsidR="00E7395A" w:rsidRDefault="00E7395A" w:rsidP="006B56BB">
      <w:r>
        <w:continuationSeparator/>
      </w:r>
    </w:p>
    <w:p w14:paraId="6B2CB1D8" w14:textId="77777777" w:rsidR="00E7395A" w:rsidRDefault="00E7395A"/>
  </w:endnote>
  <w:endnote w:type="continuationNotice" w:id="1">
    <w:p w14:paraId="6671643C" w14:textId="77777777" w:rsidR="00E7395A" w:rsidRDefault="00E739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1349" w14:textId="77777777" w:rsidR="006A7C28" w:rsidRDefault="006A7C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E2E1" w14:textId="1BA88CF5" w:rsidR="008D48C9" w:rsidRPr="0068134A" w:rsidRDefault="002C5D82" w:rsidP="00FB11F4">
    <w:pPr>
      <w:pStyle w:val="Footer"/>
    </w:pPr>
    <w:r w:rsidRPr="00FB11F4">
      <w:t xml:space="preserve">Co-design of an Enhanced Consumer Engagement Process – Communique – 15 </w:t>
    </w:r>
    <w:r w:rsidR="0052196D">
      <w:t>and</w:t>
    </w:r>
    <w:r w:rsidRPr="00FB11F4">
      <w:t xml:space="preserve"> 16 November 2023</w:t>
    </w:r>
    <w:sdt>
      <w:sdtPr>
        <w:id w:val="544643613"/>
        <w:docPartObj>
          <w:docPartGallery w:val="Page Numbers (Bottom of Page)"/>
          <w:docPartUnique/>
        </w:docPartObj>
      </w:sdtPr>
      <w:sdtEndPr/>
      <w:sdtContent>
        <w:r w:rsidR="0068134A">
          <w:tab/>
        </w:r>
        <w:r w:rsidR="0068134A" w:rsidRPr="003D033A">
          <w:fldChar w:fldCharType="begin"/>
        </w:r>
        <w:r w:rsidR="0068134A" w:rsidRPr="003D033A">
          <w:instrText xml:space="preserve"> PAGE   \* MERGEFORMAT </w:instrText>
        </w:r>
        <w:r w:rsidR="0068134A" w:rsidRPr="003D033A">
          <w:fldChar w:fldCharType="separate"/>
        </w:r>
        <w:r w:rsidR="00AC24B7">
          <w:rPr>
            <w:noProof/>
          </w:rPr>
          <w:t>7</w:t>
        </w:r>
        <w:r w:rsidR="0068134A"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83F6" w14:textId="51CC32FC" w:rsidR="0068134A" w:rsidRPr="00FB11F4" w:rsidRDefault="004C2B38" w:rsidP="00FB11F4">
    <w:pPr>
      <w:pStyle w:val="Footer"/>
    </w:pPr>
    <w:r w:rsidRPr="00FB11F4">
      <w:t xml:space="preserve">Co-design of an Enhanced Consumer Engagement Process </w:t>
    </w:r>
    <w:r w:rsidR="0098122D" w:rsidRPr="00FB11F4">
      <w:t>–</w:t>
    </w:r>
    <w:r w:rsidRPr="00FB11F4">
      <w:t xml:space="preserve"> </w:t>
    </w:r>
    <w:r w:rsidR="0098122D" w:rsidRPr="00FB11F4">
      <w:t>Communique –</w:t>
    </w:r>
    <w:r w:rsidR="000A073B" w:rsidRPr="00FB11F4">
      <w:t xml:space="preserve"> </w:t>
    </w:r>
    <w:r w:rsidRPr="00FB11F4">
      <w:t>15</w:t>
    </w:r>
    <w:r w:rsidR="001D02ED" w:rsidRPr="00FB11F4">
      <w:t xml:space="preserve"> </w:t>
    </w:r>
    <w:r w:rsidR="0052196D">
      <w:t>and</w:t>
    </w:r>
    <w:r w:rsidRPr="00FB11F4">
      <w:t xml:space="preserve"> 16 November 2023</w:t>
    </w:r>
    <w:sdt>
      <w:sdtPr>
        <w:id w:val="-183903453"/>
        <w:docPartObj>
          <w:docPartGallery w:val="Page Numbers (Bottom of Page)"/>
          <w:docPartUnique/>
        </w:docPartObj>
      </w:sdtPr>
      <w:sdtEndPr/>
      <w:sdtContent>
        <w:r w:rsidR="003D033A" w:rsidRPr="00FB11F4">
          <w:tab/>
        </w:r>
        <w:r w:rsidR="003D033A" w:rsidRPr="00FB11F4">
          <w:fldChar w:fldCharType="begin"/>
        </w:r>
        <w:r w:rsidR="003D033A" w:rsidRPr="00FB11F4">
          <w:instrText xml:space="preserve"> PAGE   \* MERGEFORMAT </w:instrText>
        </w:r>
        <w:r w:rsidR="003D033A" w:rsidRPr="00FB11F4">
          <w:fldChar w:fldCharType="separate"/>
        </w:r>
        <w:r w:rsidR="000C243A" w:rsidRPr="00FB11F4">
          <w:t>1</w:t>
        </w:r>
        <w:r w:rsidR="003D033A" w:rsidRPr="00FB11F4">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86A4C" w14:textId="77777777" w:rsidR="00E7395A" w:rsidRDefault="00E7395A" w:rsidP="006B56BB">
      <w:r>
        <w:separator/>
      </w:r>
    </w:p>
    <w:p w14:paraId="3222D6C1" w14:textId="77777777" w:rsidR="00E7395A" w:rsidRDefault="00E7395A"/>
  </w:footnote>
  <w:footnote w:type="continuationSeparator" w:id="0">
    <w:p w14:paraId="67CC6929" w14:textId="77777777" w:rsidR="00E7395A" w:rsidRDefault="00E7395A" w:rsidP="006B56BB">
      <w:r>
        <w:continuationSeparator/>
      </w:r>
    </w:p>
    <w:p w14:paraId="27EB3FE9" w14:textId="77777777" w:rsidR="00E7395A" w:rsidRDefault="00E7395A"/>
  </w:footnote>
  <w:footnote w:type="continuationNotice" w:id="1">
    <w:p w14:paraId="1384EE60" w14:textId="77777777" w:rsidR="00E7395A" w:rsidRDefault="00E739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E589" w14:textId="14A3A389" w:rsidR="006A7C28" w:rsidRDefault="006A7C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12CA" w14:textId="64C56D73" w:rsidR="006A7C28" w:rsidRDefault="006A7C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7CA5" w14:textId="5F5D2D67" w:rsidR="008D48C9" w:rsidRDefault="001571C7">
    <w:pPr>
      <w:pStyle w:val="Header"/>
    </w:pPr>
    <w:r>
      <w:rPr>
        <w:noProof/>
        <w:lang w:eastAsia="en-AU"/>
      </w:rPr>
      <w:drawing>
        <wp:inline distT="0" distB="0" distL="0" distR="0" wp14:anchorId="7D6531A2" wp14:editId="2E2E1B79">
          <wp:extent cx="5765470" cy="958215"/>
          <wp:effectExtent l="0" t="0" r="635" b="0"/>
          <wp:docPr id="2" name="Picture 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77C1437"/>
    <w:multiLevelType w:val="hybridMultilevel"/>
    <w:tmpl w:val="6448B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05833371">
    <w:abstractNumId w:val="7"/>
  </w:num>
  <w:num w:numId="2" w16cid:durableId="136727635">
    <w:abstractNumId w:val="24"/>
  </w:num>
  <w:num w:numId="3" w16cid:durableId="235825222">
    <w:abstractNumId w:val="31"/>
  </w:num>
  <w:num w:numId="4" w16cid:durableId="2023509205">
    <w:abstractNumId w:val="8"/>
  </w:num>
  <w:num w:numId="5" w16cid:durableId="1791822256">
    <w:abstractNumId w:val="8"/>
    <w:lvlOverride w:ilvl="0">
      <w:startOverride w:val="1"/>
    </w:lvlOverride>
  </w:num>
  <w:num w:numId="6" w16cid:durableId="416487120">
    <w:abstractNumId w:val="11"/>
  </w:num>
  <w:num w:numId="7" w16cid:durableId="434444360">
    <w:abstractNumId w:val="20"/>
  </w:num>
  <w:num w:numId="8" w16cid:durableId="362751147">
    <w:abstractNumId w:val="30"/>
  </w:num>
  <w:num w:numId="9" w16cid:durableId="1371421114">
    <w:abstractNumId w:val="5"/>
  </w:num>
  <w:num w:numId="10" w16cid:durableId="1218543225">
    <w:abstractNumId w:val="4"/>
  </w:num>
  <w:num w:numId="11" w16cid:durableId="742146748">
    <w:abstractNumId w:val="3"/>
  </w:num>
  <w:num w:numId="12" w16cid:durableId="615258616">
    <w:abstractNumId w:val="2"/>
  </w:num>
  <w:num w:numId="13" w16cid:durableId="1205408693">
    <w:abstractNumId w:val="6"/>
  </w:num>
  <w:num w:numId="14" w16cid:durableId="1116561205">
    <w:abstractNumId w:val="1"/>
  </w:num>
  <w:num w:numId="15" w16cid:durableId="1441223289">
    <w:abstractNumId w:val="0"/>
  </w:num>
  <w:num w:numId="16" w16cid:durableId="1507791199">
    <w:abstractNumId w:val="33"/>
  </w:num>
  <w:num w:numId="17" w16cid:durableId="826748578">
    <w:abstractNumId w:val="13"/>
  </w:num>
  <w:num w:numId="18" w16cid:durableId="268587860">
    <w:abstractNumId w:val="14"/>
  </w:num>
  <w:num w:numId="19" w16cid:durableId="583149993">
    <w:abstractNumId w:val="16"/>
  </w:num>
  <w:num w:numId="20" w16cid:durableId="406614505">
    <w:abstractNumId w:val="17"/>
  </w:num>
  <w:num w:numId="21" w16cid:durableId="1584023879">
    <w:abstractNumId w:val="32"/>
  </w:num>
  <w:num w:numId="22" w16cid:durableId="1270233570">
    <w:abstractNumId w:val="10"/>
  </w:num>
  <w:num w:numId="23" w16cid:durableId="611401788">
    <w:abstractNumId w:val="13"/>
  </w:num>
  <w:num w:numId="24" w16cid:durableId="1022513200">
    <w:abstractNumId w:val="16"/>
  </w:num>
  <w:num w:numId="25" w16cid:durableId="2003729646">
    <w:abstractNumId w:val="31"/>
  </w:num>
  <w:num w:numId="26" w16cid:durableId="1946763033">
    <w:abstractNumId w:val="8"/>
  </w:num>
  <w:num w:numId="27" w16cid:durableId="312611862">
    <w:abstractNumId w:val="18"/>
  </w:num>
  <w:num w:numId="28" w16cid:durableId="511605125">
    <w:abstractNumId w:val="28"/>
  </w:num>
  <w:num w:numId="29" w16cid:durableId="1330907870">
    <w:abstractNumId w:val="21"/>
  </w:num>
  <w:num w:numId="30" w16cid:durableId="238638011">
    <w:abstractNumId w:val="23"/>
  </w:num>
  <w:num w:numId="31" w16cid:durableId="26371822">
    <w:abstractNumId w:val="12"/>
  </w:num>
  <w:num w:numId="32" w16cid:durableId="562981981">
    <w:abstractNumId w:val="9"/>
  </w:num>
  <w:num w:numId="33" w16cid:durableId="3292123">
    <w:abstractNumId w:val="15"/>
  </w:num>
  <w:num w:numId="34" w16cid:durableId="1468426813">
    <w:abstractNumId w:val="19"/>
  </w:num>
  <w:num w:numId="35" w16cid:durableId="1428770723">
    <w:abstractNumId w:val="29"/>
  </w:num>
  <w:num w:numId="36" w16cid:durableId="316422354">
    <w:abstractNumId w:val="26"/>
  </w:num>
  <w:num w:numId="37" w16cid:durableId="33426151">
    <w:abstractNumId w:val="27"/>
  </w:num>
  <w:num w:numId="38" w16cid:durableId="1115557363">
    <w:abstractNumId w:val="25"/>
  </w:num>
  <w:num w:numId="39" w16cid:durableId="2153160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9BA"/>
    <w:rsid w:val="00003743"/>
    <w:rsid w:val="000047B4"/>
    <w:rsid w:val="00005712"/>
    <w:rsid w:val="00007FD8"/>
    <w:rsid w:val="000117F8"/>
    <w:rsid w:val="0001460F"/>
    <w:rsid w:val="00022629"/>
    <w:rsid w:val="00026139"/>
    <w:rsid w:val="00027601"/>
    <w:rsid w:val="000325F3"/>
    <w:rsid w:val="00033321"/>
    <w:rsid w:val="000338E5"/>
    <w:rsid w:val="00033ECC"/>
    <w:rsid w:val="0003422F"/>
    <w:rsid w:val="00046FF0"/>
    <w:rsid w:val="00050176"/>
    <w:rsid w:val="00067456"/>
    <w:rsid w:val="00071506"/>
    <w:rsid w:val="0007154F"/>
    <w:rsid w:val="00081AB1"/>
    <w:rsid w:val="00082303"/>
    <w:rsid w:val="00090316"/>
    <w:rsid w:val="00093981"/>
    <w:rsid w:val="000A073B"/>
    <w:rsid w:val="000A52A9"/>
    <w:rsid w:val="000B067A"/>
    <w:rsid w:val="000B1540"/>
    <w:rsid w:val="000B1E53"/>
    <w:rsid w:val="000B33FD"/>
    <w:rsid w:val="000B4ABA"/>
    <w:rsid w:val="000C243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02ED"/>
    <w:rsid w:val="001D7869"/>
    <w:rsid w:val="002026CD"/>
    <w:rsid w:val="002033FC"/>
    <w:rsid w:val="002044BB"/>
    <w:rsid w:val="00204894"/>
    <w:rsid w:val="00210B09"/>
    <w:rsid w:val="00210C9E"/>
    <w:rsid w:val="00211840"/>
    <w:rsid w:val="00220E5F"/>
    <w:rsid w:val="002212B5"/>
    <w:rsid w:val="00223B0F"/>
    <w:rsid w:val="00226668"/>
    <w:rsid w:val="00231E97"/>
    <w:rsid w:val="00233809"/>
    <w:rsid w:val="00234364"/>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38C4"/>
    <w:rsid w:val="002C5D82"/>
    <w:rsid w:val="002E1A1D"/>
    <w:rsid w:val="002E4081"/>
    <w:rsid w:val="002E5B78"/>
    <w:rsid w:val="002F3AE3"/>
    <w:rsid w:val="0030464B"/>
    <w:rsid w:val="00305D17"/>
    <w:rsid w:val="0030786C"/>
    <w:rsid w:val="003233DE"/>
    <w:rsid w:val="0032466B"/>
    <w:rsid w:val="003330EB"/>
    <w:rsid w:val="003415FD"/>
    <w:rsid w:val="003429F0"/>
    <w:rsid w:val="00345A82"/>
    <w:rsid w:val="0035097A"/>
    <w:rsid w:val="003540A4"/>
    <w:rsid w:val="00357BCC"/>
    <w:rsid w:val="00360445"/>
    <w:rsid w:val="00360E4E"/>
    <w:rsid w:val="00370AAA"/>
    <w:rsid w:val="00373CEA"/>
    <w:rsid w:val="00375F77"/>
    <w:rsid w:val="00377DF8"/>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3E0E"/>
    <w:rsid w:val="003E5265"/>
    <w:rsid w:val="003F0955"/>
    <w:rsid w:val="003F5F4D"/>
    <w:rsid w:val="003F646F"/>
    <w:rsid w:val="00400F00"/>
    <w:rsid w:val="00404F8B"/>
    <w:rsid w:val="00405256"/>
    <w:rsid w:val="00410031"/>
    <w:rsid w:val="00415C81"/>
    <w:rsid w:val="00432378"/>
    <w:rsid w:val="00440411"/>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5A85"/>
    <w:rsid w:val="004C2B38"/>
    <w:rsid w:val="004C6BCF"/>
    <w:rsid w:val="004D30D5"/>
    <w:rsid w:val="004D58BF"/>
    <w:rsid w:val="004E4335"/>
    <w:rsid w:val="004E621B"/>
    <w:rsid w:val="004F13EE"/>
    <w:rsid w:val="004F2022"/>
    <w:rsid w:val="004F7C05"/>
    <w:rsid w:val="00501C94"/>
    <w:rsid w:val="00506432"/>
    <w:rsid w:val="0052051D"/>
    <w:rsid w:val="0052196D"/>
    <w:rsid w:val="00545EE6"/>
    <w:rsid w:val="0054768D"/>
    <w:rsid w:val="005550E7"/>
    <w:rsid w:val="005564FB"/>
    <w:rsid w:val="005572C7"/>
    <w:rsid w:val="005622C2"/>
    <w:rsid w:val="005650ED"/>
    <w:rsid w:val="005679C2"/>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134A"/>
    <w:rsid w:val="006821EB"/>
    <w:rsid w:val="006A7C28"/>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0E51"/>
    <w:rsid w:val="007334F8"/>
    <w:rsid w:val="007339CD"/>
    <w:rsid w:val="007359D8"/>
    <w:rsid w:val="007362D4"/>
    <w:rsid w:val="007375FA"/>
    <w:rsid w:val="0076672A"/>
    <w:rsid w:val="00775E45"/>
    <w:rsid w:val="00776E74"/>
    <w:rsid w:val="00785169"/>
    <w:rsid w:val="00787F4B"/>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64B"/>
    <w:rsid w:val="0089677E"/>
    <w:rsid w:val="008A7438"/>
    <w:rsid w:val="008B1334"/>
    <w:rsid w:val="008B25C7"/>
    <w:rsid w:val="008C0278"/>
    <w:rsid w:val="008C24E9"/>
    <w:rsid w:val="008D0533"/>
    <w:rsid w:val="008D16B3"/>
    <w:rsid w:val="008D42CB"/>
    <w:rsid w:val="008D48C9"/>
    <w:rsid w:val="008D6381"/>
    <w:rsid w:val="008E0C77"/>
    <w:rsid w:val="008E15B0"/>
    <w:rsid w:val="008E625F"/>
    <w:rsid w:val="008F264D"/>
    <w:rsid w:val="009040E9"/>
    <w:rsid w:val="009074E1"/>
    <w:rsid w:val="009112F7"/>
    <w:rsid w:val="009122AF"/>
    <w:rsid w:val="00912D54"/>
    <w:rsid w:val="0091389F"/>
    <w:rsid w:val="009176E5"/>
    <w:rsid w:val="009208F7"/>
    <w:rsid w:val="00921649"/>
    <w:rsid w:val="00922517"/>
    <w:rsid w:val="00922722"/>
    <w:rsid w:val="009261E6"/>
    <w:rsid w:val="009268E1"/>
    <w:rsid w:val="009344DE"/>
    <w:rsid w:val="00945E7F"/>
    <w:rsid w:val="009557C1"/>
    <w:rsid w:val="00960D6E"/>
    <w:rsid w:val="009724AB"/>
    <w:rsid w:val="00974B59"/>
    <w:rsid w:val="0098122D"/>
    <w:rsid w:val="0098340B"/>
    <w:rsid w:val="00986830"/>
    <w:rsid w:val="009924C3"/>
    <w:rsid w:val="00993102"/>
    <w:rsid w:val="009B1570"/>
    <w:rsid w:val="009C6F10"/>
    <w:rsid w:val="009D148F"/>
    <w:rsid w:val="009D3D70"/>
    <w:rsid w:val="009E6F7E"/>
    <w:rsid w:val="009E7A57"/>
    <w:rsid w:val="009F4803"/>
    <w:rsid w:val="009F4F6A"/>
    <w:rsid w:val="00A0709D"/>
    <w:rsid w:val="00A13EB5"/>
    <w:rsid w:val="00A16E36"/>
    <w:rsid w:val="00A24961"/>
    <w:rsid w:val="00A24B10"/>
    <w:rsid w:val="00A277EF"/>
    <w:rsid w:val="00A30E9B"/>
    <w:rsid w:val="00A4512D"/>
    <w:rsid w:val="00A50244"/>
    <w:rsid w:val="00A627D7"/>
    <w:rsid w:val="00A656C7"/>
    <w:rsid w:val="00A705AF"/>
    <w:rsid w:val="00A72454"/>
    <w:rsid w:val="00A77696"/>
    <w:rsid w:val="00A80557"/>
    <w:rsid w:val="00A81D33"/>
    <w:rsid w:val="00A8341C"/>
    <w:rsid w:val="00A930AE"/>
    <w:rsid w:val="00AA1A95"/>
    <w:rsid w:val="00AA260F"/>
    <w:rsid w:val="00AB1EE7"/>
    <w:rsid w:val="00AB4B37"/>
    <w:rsid w:val="00AB5762"/>
    <w:rsid w:val="00AC24B7"/>
    <w:rsid w:val="00AC2679"/>
    <w:rsid w:val="00AC4BE4"/>
    <w:rsid w:val="00AD05E6"/>
    <w:rsid w:val="00AD0D3F"/>
    <w:rsid w:val="00AE1D7D"/>
    <w:rsid w:val="00AE2A8B"/>
    <w:rsid w:val="00AE3F64"/>
    <w:rsid w:val="00AF02EC"/>
    <w:rsid w:val="00AF7386"/>
    <w:rsid w:val="00AF7934"/>
    <w:rsid w:val="00B00B81"/>
    <w:rsid w:val="00B04580"/>
    <w:rsid w:val="00B04B09"/>
    <w:rsid w:val="00B1576D"/>
    <w:rsid w:val="00B16A51"/>
    <w:rsid w:val="00B32222"/>
    <w:rsid w:val="00B3618D"/>
    <w:rsid w:val="00B36233"/>
    <w:rsid w:val="00B42851"/>
    <w:rsid w:val="00B45AC7"/>
    <w:rsid w:val="00B5372F"/>
    <w:rsid w:val="00B54577"/>
    <w:rsid w:val="00B57F16"/>
    <w:rsid w:val="00B61129"/>
    <w:rsid w:val="00B67E7F"/>
    <w:rsid w:val="00B839B2"/>
    <w:rsid w:val="00B94252"/>
    <w:rsid w:val="00B9715A"/>
    <w:rsid w:val="00BA0F84"/>
    <w:rsid w:val="00BA14BE"/>
    <w:rsid w:val="00BA2732"/>
    <w:rsid w:val="00BA293D"/>
    <w:rsid w:val="00BA4216"/>
    <w:rsid w:val="00BA49BC"/>
    <w:rsid w:val="00BA56B7"/>
    <w:rsid w:val="00BA6161"/>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33316"/>
    <w:rsid w:val="00C4631F"/>
    <w:rsid w:val="00C47CDE"/>
    <w:rsid w:val="00C50E16"/>
    <w:rsid w:val="00C55258"/>
    <w:rsid w:val="00C82EEB"/>
    <w:rsid w:val="00C971DC"/>
    <w:rsid w:val="00CA16B7"/>
    <w:rsid w:val="00CA556A"/>
    <w:rsid w:val="00CA62AE"/>
    <w:rsid w:val="00CB5B1A"/>
    <w:rsid w:val="00CC220B"/>
    <w:rsid w:val="00CC29BA"/>
    <w:rsid w:val="00CC5C43"/>
    <w:rsid w:val="00CD02AE"/>
    <w:rsid w:val="00CD2A4F"/>
    <w:rsid w:val="00CE03CA"/>
    <w:rsid w:val="00CE22F1"/>
    <w:rsid w:val="00CE50F2"/>
    <w:rsid w:val="00CE6502"/>
    <w:rsid w:val="00CF2331"/>
    <w:rsid w:val="00CF7D3C"/>
    <w:rsid w:val="00D01F09"/>
    <w:rsid w:val="00D07C4B"/>
    <w:rsid w:val="00D147EB"/>
    <w:rsid w:val="00D34667"/>
    <w:rsid w:val="00D401E1"/>
    <w:rsid w:val="00D408B4"/>
    <w:rsid w:val="00D524C8"/>
    <w:rsid w:val="00D54187"/>
    <w:rsid w:val="00D70E24"/>
    <w:rsid w:val="00D72B61"/>
    <w:rsid w:val="00DA3D1D"/>
    <w:rsid w:val="00DB6286"/>
    <w:rsid w:val="00DB645F"/>
    <w:rsid w:val="00DB76E9"/>
    <w:rsid w:val="00DC0A67"/>
    <w:rsid w:val="00DC1D5E"/>
    <w:rsid w:val="00DC5220"/>
    <w:rsid w:val="00DD2061"/>
    <w:rsid w:val="00DD7DAB"/>
    <w:rsid w:val="00DE3355"/>
    <w:rsid w:val="00DE6AD6"/>
    <w:rsid w:val="00DF0C60"/>
    <w:rsid w:val="00DF27D5"/>
    <w:rsid w:val="00DF486F"/>
    <w:rsid w:val="00DF5B5B"/>
    <w:rsid w:val="00DF7619"/>
    <w:rsid w:val="00E042D8"/>
    <w:rsid w:val="00E07EE7"/>
    <w:rsid w:val="00E1103B"/>
    <w:rsid w:val="00E17B44"/>
    <w:rsid w:val="00E20F27"/>
    <w:rsid w:val="00E22443"/>
    <w:rsid w:val="00E27FEA"/>
    <w:rsid w:val="00E37240"/>
    <w:rsid w:val="00E4086F"/>
    <w:rsid w:val="00E43B3C"/>
    <w:rsid w:val="00E50188"/>
    <w:rsid w:val="00E50BB3"/>
    <w:rsid w:val="00E515CB"/>
    <w:rsid w:val="00E52260"/>
    <w:rsid w:val="00E639B6"/>
    <w:rsid w:val="00E6434B"/>
    <w:rsid w:val="00E6463D"/>
    <w:rsid w:val="00E72E9B"/>
    <w:rsid w:val="00E7395A"/>
    <w:rsid w:val="00E850C3"/>
    <w:rsid w:val="00E86762"/>
    <w:rsid w:val="00E87DF2"/>
    <w:rsid w:val="00E9462E"/>
    <w:rsid w:val="00EA470E"/>
    <w:rsid w:val="00EA47A7"/>
    <w:rsid w:val="00EA57EB"/>
    <w:rsid w:val="00EB3226"/>
    <w:rsid w:val="00EC213A"/>
    <w:rsid w:val="00EC7744"/>
    <w:rsid w:val="00ED0DAD"/>
    <w:rsid w:val="00ED0F46"/>
    <w:rsid w:val="00ED2373"/>
    <w:rsid w:val="00EE3E8A"/>
    <w:rsid w:val="00EF2429"/>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11F4"/>
    <w:rsid w:val="00FB6F92"/>
    <w:rsid w:val="00FB7859"/>
    <w:rsid w:val="00FC026E"/>
    <w:rsid w:val="00FC5124"/>
    <w:rsid w:val="00FD4731"/>
    <w:rsid w:val="00FD6768"/>
    <w:rsid w:val="00FD6FC2"/>
    <w:rsid w:val="00FE15B9"/>
    <w:rsid w:val="00FF0AB0"/>
    <w:rsid w:val="00FF28AC"/>
    <w:rsid w:val="00FF3BAA"/>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8354C8"/>
  <w15:docId w15:val="{94B77AD9-5E61-49ED-BD7D-F2FE60FF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679C2"/>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themeColor="text1"/>
      <w:sz w:val="21"/>
    </w:rPr>
  </w:style>
  <w:style w:type="paragraph" w:styleId="ListParagraph">
    <w:name w:val="List Paragraph"/>
    <w:basedOn w:val="Normal"/>
    <w:uiPriority w:val="34"/>
    <w:rsid w:val="0098122D"/>
    <w:pPr>
      <w:numPr>
        <w:numId w:val="38"/>
      </w:numPr>
      <w:ind w:left="714" w:hanging="357"/>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FB11F4"/>
    <w:pPr>
      <w:tabs>
        <w:tab w:val="center" w:pos="4513"/>
        <w:tab w:val="right" w:pos="9026"/>
      </w:tabs>
    </w:pPr>
    <w:rPr>
      <w:sz w:val="18"/>
      <w:szCs w:val="22"/>
    </w:rPr>
  </w:style>
  <w:style w:type="character" w:customStyle="1" w:styleId="FooterChar">
    <w:name w:val="Footer Char"/>
    <w:basedOn w:val="DefaultParagraphFont"/>
    <w:link w:val="Footer"/>
    <w:uiPriority w:val="99"/>
    <w:rsid w:val="00FB11F4"/>
    <w:rPr>
      <w:rFonts w:ascii="Arial" w:hAnsi="Arial"/>
      <w:sz w:val="18"/>
      <w:szCs w:val="22"/>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semiHidden/>
    <w:unhideWhenUsed/>
    <w:rsid w:val="0098122D"/>
    <w:pPr>
      <w:spacing w:line="240" w:lineRule="auto"/>
    </w:pPr>
    <w:rPr>
      <w:sz w:val="20"/>
      <w:szCs w:val="20"/>
    </w:rPr>
  </w:style>
  <w:style w:type="character" w:customStyle="1" w:styleId="CommentTextChar">
    <w:name w:val="Comment Text Char"/>
    <w:basedOn w:val="DefaultParagraphFont"/>
    <w:link w:val="CommentText"/>
    <w:semiHidden/>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paragraph" w:styleId="Revision">
    <w:name w:val="Revision"/>
    <w:hidden/>
    <w:uiPriority w:val="99"/>
    <w:semiHidden/>
    <w:rsid w:val="00DF27D5"/>
    <w:rPr>
      <w:rFonts w:ascii="Arial" w:hAnsi="Arial"/>
      <w:sz w:val="22"/>
      <w:szCs w:val="24"/>
      <w:lang w:eastAsia="en-US"/>
    </w:rPr>
  </w:style>
  <w:style w:type="character" w:styleId="UnresolvedMention">
    <w:name w:val="Unresolved Mention"/>
    <w:basedOn w:val="DefaultParagraphFont"/>
    <w:uiPriority w:val="99"/>
    <w:semiHidden/>
    <w:unhideWhenUsed/>
    <w:rsid w:val="00917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gov.au/resources/publications/national-medicines-policy?language=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health.gov.au/resources/publications/conversations-for-change-report-2023?language=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ph.gov.au/Parliamentary_Business/Committees/House/Health_Aged_Care_and_Sport/Newdrugs/Repor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kelu\Downloads\Department-of-Health-and-Aged-Care-Committee-or-group-meetings-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30" ma:contentTypeDescription="Create a new document." ma:contentTypeScope="" ma:versionID="3ae37fb82d545523f892a43cc51a167f">
  <xsd:schema xmlns:xsd="http://www.w3.org/2001/XMLSchema" xmlns:xs="http://www.w3.org/2001/XMLSchema" xmlns:p="http://schemas.microsoft.com/office/2006/metadata/properties" xmlns:ns1="d29d5f7a-be03-4e9c-abe5-c85ece0a2186" xmlns:ns2="http://schemas.microsoft.com/sharepoint/v3" xmlns:ns3="7b0f5f5d-7db3-4d3b-b63b-ce18a6ecc538" targetNamespace="http://schemas.microsoft.com/office/2006/metadata/properties" ma:root="true" ma:fieldsID="1d556ca4452641b14e09b229629f12c4" ns1:_="" ns2:_="" ns3:_="">
    <xsd:import namespace="d29d5f7a-be03-4e9c-abe5-c85ece0a2186"/>
    <xsd:import namespace="http://schemas.microsoft.com/sharepoint/v3"/>
    <xsd:import namespace="7b0f5f5d-7db3-4d3b-b63b-ce18a6ecc538"/>
    <xsd:element name="properties">
      <xsd:complexType>
        <xsd:sequence>
          <xsd:element name="documentManagement">
            <xsd:complexType>
              <xsd:all>
                <xsd:element ref="ns1:_dlc_DocId" minOccurs="0"/>
                <xsd:element ref="ns1:_dlc_DocIdUrl" minOccurs="0"/>
                <xsd:element ref="ns1:_dlc_DocIdPersistId" minOccurs="0"/>
                <xsd:element ref="ns1:Last_x0020_reviewed"/>
                <xsd:element ref="ns1:Sort_x0020_order" minOccurs="0"/>
                <xsd:element ref="ns1:Reference_x0020_no" minOccurs="0"/>
                <xsd:element ref="ns1:pfd27f99efda4409b63228bea026394d" minOccurs="0"/>
                <xsd:element ref="ns1:TaxCatchAll" minOccurs="0"/>
                <xsd:element ref="ns1:TaxCatchAllLabel" minOccurs="0"/>
                <xsd:element ref="ns1:Intranet" minOccurs="0"/>
                <xsd:element ref="ns1:p76df81b8fed4a2fa2af18761f9ff90d" minOccurs="0"/>
                <xsd:element ref="ns3:MediaServiceMetadata" minOccurs="0"/>
                <xsd:element ref="ns3:MediaServiceFastMetadata" minOccurs="0"/>
                <xsd:element ref="ns3:MediaServiceAutoKeyPoints" minOccurs="0"/>
                <xsd:element ref="ns3:MediaServiceKeyPoints" minOccurs="0"/>
                <xsd:element ref="ns1:SharedWithUsers" minOccurs="0"/>
                <xsd:element ref="ns1:SharedWithDetails" minOccurs="0"/>
                <xsd:element ref="ns2:Comments" minOccurs="0"/>
                <xsd:element ref="ns3:lcf76f155ced4ddcb4097134ff3c332f" minOccurs="0"/>
                <xsd:element ref="ns3:MediaServiceGenerationTime" minOccurs="0"/>
                <xsd:element ref="ns3:MediaServiceEventHashCode" minOccurs="0"/>
                <xsd:element ref="ns3:jf042baad2b143719d8a0cfd36411dfb" minOccurs="0"/>
                <xsd:element ref="ns3:MediaServiceObjectDetectorVersions"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0" nillable="true" ma:displayName="Document ID Value" ma:description="The value of the document ID assigned to this item." ma:hidden="true" ma:indexed="true" ma:internalName="_dlc_DocId" ma:readOnly="false">
      <xsd:simpleType>
        <xsd:restriction base="dms:Text"/>
      </xsd:simpleType>
    </xsd:element>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 nillable="true" ma:displayName="Persist ID" ma:description="Keep ID on add." ma:hidden="true" ma:internalName="_dlc_DocIdPersistId" ma:readOnly="false">
      <xsd:simpleType>
        <xsd:restriction base="dms:Boolean"/>
      </xsd:simpleType>
    </xsd:element>
    <xsd:element name="Last_x0020_reviewed" ma:index="6" ma:displayName="Last reviewed" ma:default="[today]" ma:format="DateOnly" ma:internalName="Last_x0020_reviewed" ma:readOnly="false">
      <xsd:simpleType>
        <xsd:restriction base="dms:DateTime"/>
      </xsd:simpleType>
    </xsd:element>
    <xsd:element name="Sort_x0020_order" ma:index="9" nillable="true" ma:displayName="Sort order" ma:internalName="Sort_x0020_order">
      <xsd:simpleType>
        <xsd:restriction base="dms:Text">
          <xsd:maxLength value="255"/>
        </xsd:restriction>
      </xsd:simpleType>
    </xsd:element>
    <xsd:element name="Reference_x0020_no" ma:index="10" nillable="true" ma:displayName="Reference no" ma:internalName="Reference_x0020_no" ma:readOnly="false">
      <xsd:simpleType>
        <xsd:restriction base="dms:Text">
          <xsd:maxLength value="255"/>
        </xsd:restriction>
      </xsd:simpleType>
    </xsd:element>
    <xsd:element name="pfd27f99efda4409b63228bea026394d" ma:index="12"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TaxCatchAll" ma:index="13"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6" nillable="true" ma:displayName="Intranet" ma:default="1" ma:hidden="true" ma:internalName="Intranet" ma:readOnly="false">
      <xsd:simpleType>
        <xsd:restriction base="dms:Boolean"/>
      </xsd:simpleType>
    </xsd:element>
    <xsd:element name="p76df81b8fed4a2fa2af18761f9ff90d" ma:index="17"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8" nillable="true" ma:displayName="Comments" ma:hidden="true" ma:internalName="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key)"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89</Value>
      <Value>3</Value>
      <Value>23</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1555f834-eac3-4b05-99b9-03eafaec147f</TermId>
        </TermInfo>
      </Terms>
    </p76df81b8fed4a2fa2af18761f9ff90d>
    <_dlc_DocIdPersistId xmlns="d29d5f7a-be03-4e9c-abe5-c85ece0a2186" xsi:nil="true"/>
    <_dlc_DocIdUrl xmlns="d29d5f7a-be03-4e9c-abe5-c85ece0a2186">
      <Url>https://healthgov.sharepoint.com/sites/support-comms/_layouts/15/DocIdRedir.aspx?ID=INTCOMMS-1466148216-34</Url>
      <Description>INTCOMMS-1466148216-34</Description>
    </_dlc_DocIdUrl>
    <Last_x0020_reviewed xmlns="d29d5f7a-be03-4e9c-abe5-c85ece0a2186">2023-05-10T14:00:00+00:00</Last_x0020_reviewed>
    <_dlc_DocId xmlns="d29d5f7a-be03-4e9c-abe5-c85ece0a2186">INTCOMMS-1466148216-34</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5e65d37f-4b10-44ee-87ae-c9dbb2b07f38</TermId>
        </TermInfo>
      </Terms>
    </pfd27f99efda4409b63228bea026394d>
    <Intranet xmlns="d29d5f7a-be03-4e9c-abe5-c85ece0a2186">true</Intranet>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web@health.gov.au</TermName>
          <TermId xmlns="http://schemas.microsoft.com/office/infopath/2007/PartnerControls">9c0e99c0-9c06-48e0-bcb6-4a6a27dffa4f</TermId>
        </TermInfo>
      </Terms>
    </jf042baad2b143719d8a0cfd36411dfb>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A7726-07C1-4E87-895D-67A93DF92E30}">
  <ds:schemaRefs>
    <ds:schemaRef ds:uri="http://schemas.microsoft.com/sharepoint/events"/>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C3BA9F1F-A747-45B5-A6BC-DA7AA6F16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http://schemas.microsoft.com/sharepoint/v3"/>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purl.org/dc/elements/1.1/"/>
    <ds:schemaRef ds:uri="http://schemas.microsoft.com/office/2006/metadata/properties"/>
    <ds:schemaRef ds:uri="http://schemas.microsoft.com/sharepoint/v3"/>
    <ds:schemaRef ds:uri="http://purl.org/dc/terms/"/>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d29d5f7a-be03-4e9c-abe5-c85ece0a2186"/>
    <ds:schemaRef ds:uri="http://www.w3.org/XML/1998/namespace"/>
    <ds:schemaRef ds:uri="http://purl.org/dc/dcmitype/"/>
  </ds:schemaRefs>
</ds:datastoreItem>
</file>

<file path=customXml/itemProps5.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Department-of-Health-and-Aged-Care-Committee-or-group-meetings-template.dotx</Template>
  <TotalTime>3</TotalTime>
  <Pages>2</Pages>
  <Words>625</Words>
  <Characters>4128</Characters>
  <Application>Microsoft Office Word</Application>
  <DocSecurity>0</DocSecurity>
  <Lines>75</Lines>
  <Paragraphs>30</Paragraphs>
  <ScaleCrop>false</ScaleCrop>
  <HeadingPairs>
    <vt:vector size="2" baseType="variant">
      <vt:variant>
        <vt:lpstr>Title</vt:lpstr>
      </vt:variant>
      <vt:variant>
        <vt:i4>1</vt:i4>
      </vt:variant>
    </vt:vector>
  </HeadingPairs>
  <TitlesOfParts>
    <vt:vector size="1" baseType="lpstr">
      <vt:lpstr>Co-design of an Enhanced Consumer Engagement Process – Communique – 15 and 16 November</vt:lpstr>
    </vt:vector>
  </TitlesOfParts>
  <Manager/>
  <Company>Australian Government Department of Health and Aged Care</Company>
  <LinksUpToDate>false</LinksUpToDate>
  <CharactersWithSpaces>4723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Co-design of an Enhanced Consumer Engagement Process – Communique – 15 and 16 November 2023</dc:title>
  <dc:subject>Health technologies and digital health</dc:subject>
  <dc:creator>Australian Government Department of Health and Aged Care</dc:creator>
  <cp:keywords>Health technologies and digital health; Medicines; Health Technology Assessment Consumer Consultative Committee; Health Technology Assessment Policy and Methods Review</cp:keywords>
  <dc:description/>
  <cp:revision>3</cp:revision>
  <dcterms:created xsi:type="dcterms:W3CDTF">2024-02-05T03:23:00Z</dcterms:created>
  <dcterms:modified xsi:type="dcterms:W3CDTF">2024-02-05T03:25:00Z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Information type">
    <vt:lpwstr>23;#Document|4a540cb2-01e7-4be2-96f9-d9e7e1b556fd</vt:lpwstr>
  </property>
  <property fmtid="{D5CDD505-2E9C-101B-9397-08002B2CF9AE}" pid="6" name="_dlc_DocIdItemGuid">
    <vt:lpwstr>88f54b01-144f-4513-855c-ccca5518c0ad</vt:lpwstr>
  </property>
  <property fmtid="{D5CDD505-2E9C-101B-9397-08002B2CF9AE}" pid="7" name="Keywords1">
    <vt:lpwstr>3;#Communication|1555f834-eac3-4b05-99b9-03eafaec147f</vt:lpwstr>
  </property>
  <property fmtid="{D5CDD505-2E9C-101B-9397-08002B2CF9AE}" pid="8" name="Section">
    <vt:lpwstr>5;#PCPD CC Corporate Communication SN|73cff0d0-7b20-43e0-ad96-75a3b55de641</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ies>
</file>