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14E8" w14:textId="3E8DBA8A" w:rsidR="001A6DD1" w:rsidRPr="00DB1C66" w:rsidRDefault="001A6DD1" w:rsidP="00DB1C66">
      <w:pPr>
        <w:pStyle w:val="Heading1"/>
      </w:pPr>
      <w:r w:rsidRPr="00DB1C66">
        <w:t>Pharmaceutical Benefits Scheme</w:t>
      </w:r>
      <w:r w:rsidR="007F4526" w:rsidRPr="00DB1C66">
        <w:t xml:space="preserve"> – </w:t>
      </w:r>
      <w:r w:rsidRPr="00DB1C66">
        <w:t xml:space="preserve">Biosimilar </w:t>
      </w:r>
      <w:proofErr w:type="spellStart"/>
      <w:r w:rsidR="00CC7DCE" w:rsidRPr="00DB1C66">
        <w:t>Pegfilgrastim</w:t>
      </w:r>
      <w:proofErr w:type="spellEnd"/>
    </w:p>
    <w:p w14:paraId="6C241FE3" w14:textId="5E02686A" w:rsidR="007F4526" w:rsidRDefault="001A6A99" w:rsidP="001A6A99">
      <w:pPr>
        <w:rPr>
          <w:lang w:eastAsia="ko-KR"/>
        </w:rPr>
      </w:pPr>
      <w:r>
        <w:rPr>
          <w:lang w:eastAsia="ko-KR"/>
        </w:rPr>
        <w:t xml:space="preserve">The following biosimilars brands of </w:t>
      </w:r>
      <w:proofErr w:type="spellStart"/>
      <w:r>
        <w:rPr>
          <w:lang w:eastAsia="ko-KR"/>
        </w:rPr>
        <w:t>pegfilgrastim</w:t>
      </w:r>
      <w:proofErr w:type="spellEnd"/>
      <w:r>
        <w:rPr>
          <w:lang w:eastAsia="ko-KR"/>
        </w:rPr>
        <w:t xml:space="preserve"> are</w:t>
      </w:r>
      <w:r w:rsidRPr="00FC47CD">
        <w:rPr>
          <w:lang w:eastAsia="ko-KR"/>
        </w:rPr>
        <w:t xml:space="preserve"> listed on the Pharmaceutical Ben</w:t>
      </w:r>
      <w:r>
        <w:rPr>
          <w:lang w:eastAsia="ko-KR"/>
        </w:rPr>
        <w:t>efits Scheme (PBS):</w:t>
      </w:r>
    </w:p>
    <w:tbl>
      <w:tblPr>
        <w:tblStyle w:val="DepartmentofHealthtable"/>
        <w:tblW w:w="0" w:type="auto"/>
        <w:tblLook w:val="04A0" w:firstRow="1" w:lastRow="0" w:firstColumn="1" w:lastColumn="0" w:noHBand="0" w:noVBand="1"/>
        <w:tblCaption w:val="PBS brands of pegfilgrastim"/>
        <w:tblDescription w:val="The table shows the brands of pegfilgrastim that are available on the PBS, together with the dates on which these brands were listed."/>
      </w:tblPr>
      <w:tblGrid>
        <w:gridCol w:w="1843"/>
        <w:gridCol w:w="2552"/>
      </w:tblGrid>
      <w:tr w:rsidR="001A6A99" w:rsidRPr="001369DC" w14:paraId="40837642" w14:textId="77777777" w:rsidTr="00CC7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A7EC5F1" w14:textId="77777777" w:rsidR="001A6A99" w:rsidRPr="00DB1C66" w:rsidRDefault="001A6A99" w:rsidP="00DB1C66">
            <w:pPr>
              <w:pStyle w:val="TableHeaderWhite"/>
            </w:pPr>
            <w:r w:rsidRPr="00DB1C66">
              <w:t>Brand name</w:t>
            </w:r>
          </w:p>
        </w:tc>
        <w:tc>
          <w:tcPr>
            <w:tcW w:w="2552" w:type="dxa"/>
          </w:tcPr>
          <w:p w14:paraId="2C7C883E" w14:textId="77777777" w:rsidR="001A6A99" w:rsidRPr="00DB1C66" w:rsidRDefault="001A6A99" w:rsidP="00DB1C66">
            <w:pPr>
              <w:pStyle w:val="TableHeaderWhite"/>
              <w:cnfStyle w:val="100000000000" w:firstRow="1" w:lastRow="0" w:firstColumn="0" w:lastColumn="0" w:oddVBand="0" w:evenVBand="0" w:oddHBand="0" w:evenHBand="0" w:firstRowFirstColumn="0" w:firstRowLastColumn="0" w:lastRowFirstColumn="0" w:lastRowLastColumn="0"/>
            </w:pPr>
            <w:r w:rsidRPr="00DB1C66">
              <w:t>Date listed on PBS</w:t>
            </w:r>
          </w:p>
        </w:tc>
      </w:tr>
      <w:tr w:rsidR="001A6A99" w:rsidRPr="001369DC" w14:paraId="1E1E359A" w14:textId="77777777" w:rsidTr="00CC7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E5CA39D" w14:textId="77777777" w:rsidR="001A6A99" w:rsidRPr="001369DC" w:rsidRDefault="001A6A99" w:rsidP="00542EC9">
            <w:pPr>
              <w:rPr>
                <w:rFonts w:cs="Arial"/>
                <w:szCs w:val="22"/>
                <w:lang w:eastAsia="ko-KR"/>
              </w:rPr>
            </w:pPr>
            <w:proofErr w:type="spellStart"/>
            <w:r>
              <w:rPr>
                <w:rFonts w:cs="Arial"/>
                <w:szCs w:val="22"/>
                <w:lang w:eastAsia="ko-KR"/>
              </w:rPr>
              <w:t>Ziextenzo</w:t>
            </w:r>
            <w:proofErr w:type="spellEnd"/>
            <w:r w:rsidRPr="001369DC">
              <w:rPr>
                <w:rFonts w:cs="Arial"/>
                <w:szCs w:val="22"/>
                <w:vertAlign w:val="superscript"/>
                <w:lang w:eastAsia="ko-KR"/>
              </w:rPr>
              <w:t>®</w:t>
            </w:r>
          </w:p>
        </w:tc>
        <w:tc>
          <w:tcPr>
            <w:tcW w:w="2552" w:type="dxa"/>
          </w:tcPr>
          <w:p w14:paraId="12FD6527" w14:textId="77777777" w:rsidR="001A6A99" w:rsidRPr="001369DC" w:rsidRDefault="001A6A99" w:rsidP="00542EC9">
            <w:pPr>
              <w:cnfStyle w:val="000000100000" w:firstRow="0" w:lastRow="0" w:firstColumn="0" w:lastColumn="0" w:oddVBand="0" w:evenVBand="0" w:oddHBand="1" w:evenHBand="0" w:firstRowFirstColumn="0" w:firstRowLastColumn="0" w:lastRowFirstColumn="0" w:lastRowLastColumn="0"/>
              <w:rPr>
                <w:rFonts w:cs="Arial"/>
                <w:szCs w:val="22"/>
                <w:lang w:eastAsia="ko-KR"/>
              </w:rPr>
            </w:pPr>
            <w:r w:rsidRPr="001369DC">
              <w:rPr>
                <w:rFonts w:cs="Arial"/>
                <w:szCs w:val="22"/>
                <w:lang w:eastAsia="ko-KR"/>
              </w:rPr>
              <w:t xml:space="preserve">1 </w:t>
            </w:r>
            <w:r>
              <w:rPr>
                <w:rFonts w:cs="Arial"/>
                <w:szCs w:val="22"/>
                <w:lang w:eastAsia="ko-KR"/>
              </w:rPr>
              <w:t>March</w:t>
            </w:r>
            <w:r w:rsidRPr="001369DC">
              <w:rPr>
                <w:rFonts w:cs="Arial"/>
                <w:szCs w:val="22"/>
                <w:lang w:eastAsia="ko-KR"/>
              </w:rPr>
              <w:t xml:space="preserve"> 20</w:t>
            </w:r>
            <w:r>
              <w:rPr>
                <w:rFonts w:cs="Arial"/>
                <w:szCs w:val="22"/>
                <w:lang w:eastAsia="ko-KR"/>
              </w:rPr>
              <w:t>20</w:t>
            </w:r>
          </w:p>
        </w:tc>
      </w:tr>
      <w:tr w:rsidR="001A6A99" w:rsidRPr="001369DC" w14:paraId="0E1EDFC4" w14:textId="77777777" w:rsidTr="00CC78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7FB23C6" w14:textId="77777777" w:rsidR="001A6A99" w:rsidRPr="001369DC" w:rsidRDefault="001A6A99" w:rsidP="00542EC9">
            <w:pPr>
              <w:rPr>
                <w:rFonts w:cs="Arial"/>
                <w:szCs w:val="22"/>
                <w:lang w:eastAsia="ko-KR"/>
              </w:rPr>
            </w:pPr>
            <w:proofErr w:type="spellStart"/>
            <w:r>
              <w:rPr>
                <w:rFonts w:cs="Arial"/>
                <w:szCs w:val="22"/>
                <w:lang w:eastAsia="ko-KR"/>
              </w:rPr>
              <w:t>Pelgraz</w:t>
            </w:r>
            <w:proofErr w:type="spellEnd"/>
            <w:r w:rsidRPr="001369DC">
              <w:rPr>
                <w:rFonts w:cs="Arial"/>
                <w:szCs w:val="22"/>
                <w:vertAlign w:val="superscript"/>
              </w:rPr>
              <w:t>®</w:t>
            </w:r>
          </w:p>
        </w:tc>
        <w:tc>
          <w:tcPr>
            <w:tcW w:w="2552" w:type="dxa"/>
          </w:tcPr>
          <w:p w14:paraId="489819B4" w14:textId="77777777" w:rsidR="001A6A99" w:rsidRPr="001369DC" w:rsidRDefault="001A6A99" w:rsidP="00542EC9">
            <w:pPr>
              <w:cnfStyle w:val="000000010000" w:firstRow="0" w:lastRow="0" w:firstColumn="0" w:lastColumn="0" w:oddVBand="0" w:evenVBand="0" w:oddHBand="0" w:evenHBand="1" w:firstRowFirstColumn="0" w:firstRowLastColumn="0" w:lastRowFirstColumn="0" w:lastRowLastColumn="0"/>
              <w:rPr>
                <w:rFonts w:cs="Arial"/>
                <w:szCs w:val="22"/>
                <w:lang w:eastAsia="ko-KR"/>
              </w:rPr>
            </w:pPr>
            <w:r w:rsidRPr="001369DC">
              <w:rPr>
                <w:rFonts w:cs="Arial"/>
                <w:szCs w:val="22"/>
                <w:lang w:eastAsia="ko-KR"/>
              </w:rPr>
              <w:t>1 </w:t>
            </w:r>
            <w:r>
              <w:rPr>
                <w:rFonts w:cs="Arial"/>
                <w:szCs w:val="22"/>
                <w:lang w:eastAsia="ko-KR"/>
              </w:rPr>
              <w:t>August</w:t>
            </w:r>
            <w:r w:rsidRPr="001369DC">
              <w:rPr>
                <w:rFonts w:cs="Arial"/>
                <w:szCs w:val="22"/>
                <w:lang w:eastAsia="ko-KR"/>
              </w:rPr>
              <w:t> 20</w:t>
            </w:r>
            <w:r>
              <w:rPr>
                <w:rFonts w:cs="Arial"/>
                <w:szCs w:val="22"/>
                <w:lang w:eastAsia="ko-KR"/>
              </w:rPr>
              <w:t>20</w:t>
            </w:r>
          </w:p>
        </w:tc>
      </w:tr>
    </w:tbl>
    <w:p w14:paraId="7B7CB48D" w14:textId="79D074C2" w:rsidR="001A6A99" w:rsidRDefault="001A6A99" w:rsidP="001A6A99">
      <w:pPr>
        <w:rPr>
          <w:lang w:eastAsia="ko-KR"/>
        </w:rPr>
      </w:pPr>
      <w:r>
        <w:rPr>
          <w:lang w:eastAsia="ko-KR"/>
        </w:rPr>
        <w:t xml:space="preserve">These brands are listed under the </w:t>
      </w:r>
      <w:hyperlink r:id="rId8" w:history="1">
        <w:r w:rsidRPr="00786E3B">
          <w:rPr>
            <w:rStyle w:val="Hyperlink"/>
            <w:lang w:eastAsia="ko-KR"/>
          </w:rPr>
          <w:t>Section 100 Highly Specialised Drugs Program</w:t>
        </w:r>
      </w:hyperlink>
      <w:r>
        <w:rPr>
          <w:lang w:eastAsia="ko-KR"/>
        </w:rPr>
        <w:t xml:space="preserve"> (HSD Program).</w:t>
      </w:r>
    </w:p>
    <w:p w14:paraId="0A3AF01A" w14:textId="77777777" w:rsidR="001A6A99" w:rsidRDefault="001A6A99" w:rsidP="001A6A99">
      <w:pPr>
        <w:pStyle w:val="Heading2"/>
      </w:pPr>
      <w:r>
        <w:t>What are biological and biosimilar medicines?</w:t>
      </w:r>
    </w:p>
    <w:p w14:paraId="1219C52E" w14:textId="77777777" w:rsidR="001A6A99" w:rsidRDefault="001A6A99" w:rsidP="001A6A99">
      <w:r>
        <w:rPr>
          <w:rFonts w:hint="eastAsia"/>
        </w:rPr>
        <w:t>B</w:t>
      </w:r>
      <w:r>
        <w:t>iological medicine</w:t>
      </w:r>
      <w:r>
        <w:rPr>
          <w:rFonts w:hint="eastAsia"/>
        </w:rPr>
        <w:t>s, including biosimila</w:t>
      </w:r>
      <w:r>
        <w:t>rs</w:t>
      </w:r>
      <w:r>
        <w:rPr>
          <w:rFonts w:hint="eastAsia"/>
        </w:rPr>
        <w:t xml:space="preserve">, </w:t>
      </w:r>
      <w:r>
        <w:t>contain</w:t>
      </w:r>
      <w:r>
        <w:rPr>
          <w:rFonts w:hint="eastAsia"/>
        </w:rPr>
        <w:t xml:space="preserve"> </w:t>
      </w:r>
      <w:r w:rsidRPr="00D673BE">
        <w:t>substances made</w:t>
      </w:r>
      <w:r>
        <w:t xml:space="preserve"> by living cells or organisms. They are more complex to make than synthetic chemical medicines.</w:t>
      </w:r>
    </w:p>
    <w:p w14:paraId="01AE1DE0" w14:textId="000BAEB0" w:rsidR="001A6A99" w:rsidRDefault="001A6A99" w:rsidP="001A6A99">
      <w:r>
        <w:t>A b</w:t>
      </w:r>
      <w:r w:rsidRPr="00D673BE">
        <w:t xml:space="preserve">iosimilar medicine </w:t>
      </w:r>
      <w:r>
        <w:t>is a</w:t>
      </w:r>
      <w:r>
        <w:rPr>
          <w:rFonts w:hint="eastAsia"/>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0FBCDBA4" w14:textId="77777777" w:rsidR="001A6A99" w:rsidRDefault="001A6A99" w:rsidP="001A6A99">
      <w:r>
        <w:t xml:space="preserve">Biosimilar medicines </w:t>
      </w:r>
      <w:r w:rsidRPr="00D673BE">
        <w:t>have been tested and shown to</w:t>
      </w:r>
      <w:r>
        <w:t xml:space="preserve"> </w:t>
      </w:r>
      <w:r w:rsidRPr="00D673BE">
        <w:t>be as safe and effective as the reference biological medicines</w:t>
      </w:r>
      <w:r>
        <w:t>.</w:t>
      </w:r>
    </w:p>
    <w:p w14:paraId="5B42DE12" w14:textId="5B395567" w:rsidR="001A6A99" w:rsidRDefault="001A6A99" w:rsidP="001A6A99">
      <w:pPr>
        <w:pStyle w:val="Heading2"/>
      </w:pPr>
      <w:r>
        <w:t>How is biosimilarity determined?</w:t>
      </w:r>
    </w:p>
    <w:p w14:paraId="2F4E51ED" w14:textId="77777777" w:rsidR="001A6A99" w:rsidRPr="00396AEA" w:rsidRDefault="001A6A99" w:rsidP="001A6A99">
      <w:r w:rsidRPr="00396AEA">
        <w:t>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quality or effectiveness of the biosimilar medicine</w:t>
      </w:r>
      <w:r>
        <w:t>.</w:t>
      </w:r>
    </w:p>
    <w:p w14:paraId="0A96DC02" w14:textId="418E247D" w:rsidR="001A6A99" w:rsidRPr="00F8050B" w:rsidRDefault="001A6A99" w:rsidP="001A6A99">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w:t>
      </w:r>
      <w:proofErr w:type="gramStart"/>
      <w:r w:rsidRPr="00CC54CB">
        <w:t>i.e.</w:t>
      </w:r>
      <w:proofErr w:type="gramEnd"/>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5882E4DC" w14:textId="6BC1C393" w:rsidR="001A6A99" w:rsidRPr="00DB1C66" w:rsidRDefault="001A6A99" w:rsidP="00DB1C66">
      <w:proofErr w:type="spellStart"/>
      <w:r w:rsidRPr="00DB1C66">
        <w:t>Pelgraz</w:t>
      </w:r>
      <w:proofErr w:type="spellEnd"/>
      <w:r w:rsidRPr="00DB1C66">
        <w:t xml:space="preserve"> and </w:t>
      </w:r>
      <w:proofErr w:type="spellStart"/>
      <w:r w:rsidRPr="00DB1C66">
        <w:t>Ziextenzo</w:t>
      </w:r>
      <w:proofErr w:type="spellEnd"/>
      <w:r w:rsidRPr="00DB1C66">
        <w:t xml:space="preserve"> have been assessed by the TGA on the basis of</w:t>
      </w:r>
      <w:r w:rsidRPr="00DB1C66">
        <w:rPr>
          <w:rFonts w:hint="eastAsia"/>
        </w:rPr>
        <w:t xml:space="preserve"> comparability and clinical studies </w:t>
      </w:r>
      <w:r w:rsidRPr="00DB1C66">
        <w:t>to be highly similar</w:t>
      </w:r>
      <w:r w:rsidRPr="00DB1C66">
        <w:rPr>
          <w:rFonts w:hint="eastAsia"/>
        </w:rPr>
        <w:t xml:space="preserve"> to</w:t>
      </w:r>
      <w:r w:rsidRPr="00DB1C66">
        <w:t xml:space="preserve"> the reference brand,</w:t>
      </w:r>
      <w:r w:rsidRPr="00DB1C66">
        <w:rPr>
          <w:rFonts w:hint="eastAsia"/>
        </w:rPr>
        <w:t xml:space="preserve"> </w:t>
      </w:r>
      <w:r w:rsidRPr="00DB1C66">
        <w:t xml:space="preserve">Neulasta. </w:t>
      </w:r>
      <w:r w:rsidRPr="00DB1C66">
        <w:rPr>
          <w:rFonts w:hint="eastAsia"/>
        </w:rPr>
        <w:t xml:space="preserve">This means </w:t>
      </w:r>
      <w:r w:rsidRPr="00DB1C66">
        <w:t xml:space="preserve">that </w:t>
      </w:r>
      <w:proofErr w:type="spellStart"/>
      <w:r w:rsidRPr="00DB1C66">
        <w:t>Pelgraz</w:t>
      </w:r>
      <w:proofErr w:type="spellEnd"/>
      <w:r w:rsidRPr="00DB1C66">
        <w:t xml:space="preserve"> and </w:t>
      </w:r>
      <w:proofErr w:type="spellStart"/>
      <w:r w:rsidRPr="00DB1C66">
        <w:t>Ziextenzo</w:t>
      </w:r>
      <w:proofErr w:type="spellEnd"/>
      <w:r w:rsidRPr="00DB1C66">
        <w:t xml:space="preserve"> provide the same health outcomes and are</w:t>
      </w:r>
      <w:r w:rsidRPr="00DB1C66">
        <w:rPr>
          <w:rFonts w:hint="eastAsia"/>
        </w:rPr>
        <w:t xml:space="preserve"> </w:t>
      </w:r>
      <w:r w:rsidRPr="00DB1C66">
        <w:t>as safe and effective as Neulasta.</w:t>
      </w:r>
    </w:p>
    <w:p w14:paraId="23D13A27" w14:textId="77777777" w:rsidR="0022599C" w:rsidRDefault="0022599C" w:rsidP="00483019">
      <w:pPr>
        <w:pStyle w:val="IntroPara"/>
        <w:spacing w:before="0"/>
        <w:rPr>
          <w:color w:val="7F7F7F" w:themeColor="text1" w:themeTint="80"/>
        </w:rPr>
      </w:pPr>
    </w:p>
    <w:p w14:paraId="69AD48C9" w14:textId="77777777" w:rsidR="0022599C" w:rsidRDefault="0022599C" w:rsidP="00483019">
      <w:pPr>
        <w:pStyle w:val="IntroPara"/>
        <w:spacing w:before="0"/>
        <w:rPr>
          <w:color w:val="7F7F7F" w:themeColor="text1" w:themeTint="80"/>
        </w:rPr>
      </w:pPr>
    </w:p>
    <w:p w14:paraId="25DE5EDA" w14:textId="2D97ABED" w:rsidR="00483019" w:rsidRPr="00721F0E" w:rsidRDefault="008A4CA3" w:rsidP="00483019">
      <w:pPr>
        <w:pStyle w:val="IntroPara"/>
        <w:spacing w:before="0"/>
        <w:rPr>
          <w:color w:val="7F7F7F" w:themeColor="text1" w:themeTint="80"/>
        </w:rPr>
      </w:pPr>
      <w:r>
        <w:rPr>
          <w:color w:val="7F7F7F" w:themeColor="text1" w:themeTint="80"/>
        </w:rPr>
        <w:lastRenderedPageBreak/>
        <w:t>N</w:t>
      </w:r>
      <w:r w:rsidR="00EB5476">
        <w:rPr>
          <w:color w:val="7F7F7F" w:themeColor="text1" w:themeTint="80"/>
        </w:rPr>
        <w:t xml:space="preserve">eulasta and </w:t>
      </w:r>
      <w:proofErr w:type="spellStart"/>
      <w:r w:rsidR="00483019">
        <w:rPr>
          <w:color w:val="7F7F7F" w:themeColor="text1" w:themeTint="80"/>
        </w:rPr>
        <w:t>Ristempa</w:t>
      </w:r>
      <w:proofErr w:type="spellEnd"/>
      <w:r w:rsidR="00482D02" w:rsidRPr="00482D02">
        <w:rPr>
          <w:rFonts w:cs="Arial"/>
          <w:color w:val="7F7F7F" w:themeColor="text1" w:themeTint="80"/>
          <w:vertAlign w:val="superscript"/>
        </w:rPr>
        <w:t>®</w:t>
      </w:r>
      <w:r w:rsidR="00483019" w:rsidRPr="00007533">
        <w:rPr>
          <w:color w:val="7F7F7F" w:themeColor="text1" w:themeTint="80"/>
        </w:rPr>
        <w:t xml:space="preserve"> </w:t>
      </w:r>
      <w:proofErr w:type="spellStart"/>
      <w:r w:rsidR="00483019" w:rsidRPr="00007533">
        <w:rPr>
          <w:color w:val="7F7F7F" w:themeColor="text1" w:themeTint="80"/>
        </w:rPr>
        <w:t>delisting</w:t>
      </w:r>
      <w:r w:rsidR="00EB5476">
        <w:rPr>
          <w:color w:val="7F7F7F" w:themeColor="text1" w:themeTint="80"/>
        </w:rPr>
        <w:t>s</w:t>
      </w:r>
      <w:proofErr w:type="spellEnd"/>
      <w:r w:rsidR="00483019" w:rsidRPr="00721F0E">
        <w:rPr>
          <w:color w:val="7F7F7F" w:themeColor="text1" w:themeTint="80"/>
        </w:rPr>
        <w:t xml:space="preserve"> </w:t>
      </w:r>
    </w:p>
    <w:p w14:paraId="5EE9A44A" w14:textId="7F533B25" w:rsidR="00483019" w:rsidRPr="00721F0E" w:rsidRDefault="00EB5476" w:rsidP="00483019">
      <w:pPr>
        <w:rPr>
          <w:lang w:eastAsia="ko-KR"/>
        </w:rPr>
      </w:pPr>
      <w:r>
        <w:rPr>
          <w:lang w:eastAsia="ko-KR"/>
        </w:rPr>
        <w:t xml:space="preserve">The reference brand </w:t>
      </w:r>
      <w:r w:rsidR="008A4CA3">
        <w:rPr>
          <w:lang w:eastAsia="ko-KR"/>
        </w:rPr>
        <w:t>Neulasta was removed from the PBS from 1 April 2022</w:t>
      </w:r>
      <w:r w:rsidR="00117AC0">
        <w:rPr>
          <w:lang w:eastAsia="ko-KR"/>
        </w:rPr>
        <w:t xml:space="preserve"> at the request of the sponsor</w:t>
      </w:r>
      <w:r w:rsidR="008A4CA3">
        <w:rPr>
          <w:lang w:eastAsia="ko-KR"/>
        </w:rPr>
        <w:t xml:space="preserve">. </w:t>
      </w:r>
      <w:proofErr w:type="spellStart"/>
      <w:r w:rsidR="00483019">
        <w:rPr>
          <w:lang w:eastAsia="ko-KR"/>
        </w:rPr>
        <w:t>Ristempa</w:t>
      </w:r>
      <w:proofErr w:type="spellEnd"/>
      <w:r>
        <w:rPr>
          <w:lang w:eastAsia="ko-KR"/>
        </w:rPr>
        <w:t xml:space="preserve">, </w:t>
      </w:r>
      <w:r w:rsidR="00117AC0">
        <w:rPr>
          <w:lang w:eastAsia="ko-KR"/>
        </w:rPr>
        <w:t>a co-marketed brand,</w:t>
      </w:r>
      <w:r w:rsidR="00483019">
        <w:rPr>
          <w:lang w:eastAsia="ko-KR"/>
        </w:rPr>
        <w:t xml:space="preserve"> was removed from the PBS on 1</w:t>
      </w:r>
      <w:r w:rsidR="00117AC0">
        <w:rPr>
          <w:lang w:eastAsia="ko-KR"/>
        </w:rPr>
        <w:t> </w:t>
      </w:r>
      <w:r w:rsidR="00483019">
        <w:rPr>
          <w:lang w:eastAsia="ko-KR"/>
        </w:rPr>
        <w:t>February</w:t>
      </w:r>
      <w:r w:rsidR="00117AC0">
        <w:rPr>
          <w:lang w:eastAsia="ko-KR"/>
        </w:rPr>
        <w:t> </w:t>
      </w:r>
      <w:r w:rsidR="00483019">
        <w:rPr>
          <w:lang w:eastAsia="ko-KR"/>
        </w:rPr>
        <w:t>2024</w:t>
      </w:r>
      <w:r w:rsidR="00117AC0">
        <w:rPr>
          <w:lang w:eastAsia="ko-KR"/>
        </w:rPr>
        <w:t>.</w:t>
      </w:r>
    </w:p>
    <w:p w14:paraId="3092A53D" w14:textId="0378C762" w:rsidR="001A6A99" w:rsidRDefault="001A6A99" w:rsidP="001A6A99">
      <w:pPr>
        <w:pStyle w:val="Heading2"/>
      </w:pPr>
      <w:r>
        <w:t xml:space="preserve">What is </w:t>
      </w:r>
      <w:proofErr w:type="spellStart"/>
      <w:r>
        <w:t>pegfilgrastim</w:t>
      </w:r>
      <w:proofErr w:type="spellEnd"/>
      <w:r>
        <w:t>?</w:t>
      </w:r>
    </w:p>
    <w:p w14:paraId="04D9DC6C" w14:textId="4B859A25" w:rsidR="001A6A99" w:rsidRPr="0018123B" w:rsidRDefault="001A6A99" w:rsidP="001A6A99">
      <w:pPr>
        <w:autoSpaceDE w:val="0"/>
        <w:autoSpaceDN w:val="0"/>
        <w:adjustRightInd w:val="0"/>
        <w:rPr>
          <w:rFonts w:cs="Arial"/>
        </w:rPr>
      </w:pPr>
      <w:proofErr w:type="spellStart"/>
      <w:r w:rsidRPr="0018123B">
        <w:rPr>
          <w:rFonts w:cs="Arial"/>
        </w:rPr>
        <w:t>Pegfilgrastim</w:t>
      </w:r>
      <w:proofErr w:type="spellEnd"/>
      <w:r w:rsidRPr="0018123B">
        <w:rPr>
          <w:rFonts w:cs="Arial"/>
        </w:rPr>
        <w:t xml:space="preserve"> is a biological medicine used to treat chemotherapy-induced neutropenia.</w:t>
      </w:r>
    </w:p>
    <w:p w14:paraId="34E9C4BF" w14:textId="5F776956" w:rsidR="001A6A99" w:rsidRPr="003C3E8E" w:rsidRDefault="001A6A99" w:rsidP="001A6A99">
      <w:r>
        <w:t>More information about this medicine is available by entering ‘</w:t>
      </w:r>
      <w:proofErr w:type="spellStart"/>
      <w:r>
        <w:t>pegfilgrastim</w:t>
      </w:r>
      <w:proofErr w:type="spellEnd"/>
      <w:r>
        <w:t xml:space="preserve">’ at </w:t>
      </w:r>
      <w:r>
        <w:rPr>
          <w:rFonts w:hint="eastAsia"/>
          <w:lang w:eastAsia="ko-KR"/>
        </w:rPr>
        <w:t xml:space="preserve">the </w:t>
      </w:r>
      <w:hyperlink r:id="rId9"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072D9EFE" w14:textId="1F4B5F6A" w:rsidR="001A6A99" w:rsidRDefault="001A6A99" w:rsidP="001A6A99">
      <w:pPr>
        <w:pStyle w:val="Heading2"/>
      </w:pPr>
      <w:r>
        <w:t xml:space="preserve">Can PBS brands of </w:t>
      </w:r>
      <w:proofErr w:type="spellStart"/>
      <w:r>
        <w:t>pegfilgrastim</w:t>
      </w:r>
      <w:proofErr w:type="spellEnd"/>
      <w:r>
        <w:t xml:space="preserve"> be substituted?</w:t>
      </w:r>
    </w:p>
    <w:p w14:paraId="7C393450" w14:textId="712AA541" w:rsidR="001A6A99" w:rsidRPr="003D52F4" w:rsidRDefault="001A6A99" w:rsidP="001A6A99">
      <w:pPr>
        <w:autoSpaceDE w:val="0"/>
        <w:autoSpaceDN w:val="0"/>
        <w:adjustRightInd w:val="0"/>
        <w:rPr>
          <w:rFonts w:cs="Arial"/>
        </w:rPr>
      </w:pPr>
      <w:r w:rsidRPr="003D52F4">
        <w:rPr>
          <w:rFonts w:cs="Arial"/>
        </w:rPr>
        <w:t>The Pharmaceutical Benefits Advisory Committee (PBAC), an independent, expert advisory body</w:t>
      </w:r>
      <w:r w:rsidR="00854B11">
        <w:rPr>
          <w:rFonts w:cs="Arial"/>
        </w:rPr>
        <w:t xml:space="preserve"> to the Australian Government</w:t>
      </w:r>
      <w:r w:rsidRPr="003D52F4">
        <w:rPr>
          <w:rFonts w:cs="Arial"/>
        </w:rPr>
        <w:t xml:space="preserve">, recommended that </w:t>
      </w:r>
      <w:proofErr w:type="spellStart"/>
      <w:r>
        <w:rPr>
          <w:rFonts w:cs="Arial"/>
        </w:rPr>
        <w:t>Pelgraz</w:t>
      </w:r>
      <w:proofErr w:type="spellEnd"/>
      <w:r>
        <w:rPr>
          <w:rFonts w:cs="Arial"/>
        </w:rPr>
        <w:t xml:space="preserve"> and </w:t>
      </w:r>
      <w:proofErr w:type="spellStart"/>
      <w:r>
        <w:rPr>
          <w:rFonts w:cs="Arial"/>
        </w:rPr>
        <w:t>Ziextenzo</w:t>
      </w:r>
      <w:proofErr w:type="spellEnd"/>
      <w:r>
        <w:rPr>
          <w:rFonts w:cs="Arial"/>
        </w:rPr>
        <w:t xml:space="preserve"> </w:t>
      </w:r>
      <w:r w:rsidRPr="003D52F4">
        <w:rPr>
          <w:rFonts w:cs="Arial"/>
        </w:rPr>
        <w:t>be listed on the PBS as substitutable biosimilar</w:t>
      </w:r>
      <w:r>
        <w:rPr>
          <w:rFonts w:cs="Arial"/>
        </w:rPr>
        <w:t>s</w:t>
      </w:r>
      <w:r w:rsidRPr="003D52F4">
        <w:rPr>
          <w:rFonts w:cs="Arial"/>
        </w:rPr>
        <w:t xml:space="preserve"> of </w:t>
      </w:r>
      <w:r w:rsidR="00504FD3">
        <w:rPr>
          <w:rFonts w:cs="Arial"/>
        </w:rPr>
        <w:t xml:space="preserve">the reference brand </w:t>
      </w:r>
      <w:r>
        <w:rPr>
          <w:rFonts w:cs="Arial"/>
        </w:rPr>
        <w:t>Neulasta</w:t>
      </w:r>
      <w:r w:rsidRPr="003D52F4">
        <w:rPr>
          <w:rFonts w:cs="Arial"/>
        </w:rPr>
        <w:t>.</w:t>
      </w:r>
      <w:r>
        <w:rPr>
          <w:rFonts w:cs="Arial"/>
        </w:rPr>
        <w:t xml:space="preserve"> </w:t>
      </w:r>
      <w:bookmarkStart w:id="0" w:name="_Hlk85111781"/>
      <w:r w:rsidR="00923229">
        <w:t>S</w:t>
      </w:r>
      <w:r w:rsidR="00923229" w:rsidRPr="00AF634E">
        <w:t xml:space="preserve">ubstitutable </w:t>
      </w:r>
      <w:r w:rsidR="00923229" w:rsidRPr="007D3E12">
        <w:t>brands are marked in the Schedule with an ‘a’</w:t>
      </w:r>
      <w:r w:rsidR="00923229" w:rsidRPr="007D3E12">
        <w:noBreakHyphen/>
        <w:t>flag.</w:t>
      </w:r>
      <w:r w:rsidR="00923229" w:rsidRPr="00BF242E">
        <w:t xml:space="preserve"> </w:t>
      </w:r>
      <w:r w:rsidR="00923229" w:rsidRPr="003D52F4">
        <w:t xml:space="preserve">When PBS brands are </w:t>
      </w:r>
      <w:r w:rsidR="00923229">
        <w:t>’a’-flagged</w:t>
      </w:r>
      <w:r w:rsidR="00923229" w:rsidRPr="003D52F4">
        <w:t xml:space="preserve"> with each other, the pharmacist may dispense any</w:t>
      </w:r>
      <w:r w:rsidR="00923229">
        <w:t xml:space="preserve"> of these</w:t>
      </w:r>
      <w:r w:rsidR="00923229" w:rsidRPr="003D52F4">
        <w:t xml:space="preserve"> brand</w:t>
      </w:r>
      <w:r w:rsidR="00923229">
        <w:t>s</w:t>
      </w:r>
      <w:r w:rsidR="00923229" w:rsidRPr="003D52F4">
        <w:t xml:space="preserve">, </w:t>
      </w:r>
      <w:r w:rsidR="00F574E2">
        <w:t xml:space="preserve">in consultation with the patient and </w:t>
      </w:r>
      <w:r w:rsidR="00923229" w:rsidRPr="003D52F4">
        <w:t>provided the prescriber has not indicated ‘brand substitution not permitted’ on the prescription</w:t>
      </w:r>
      <w:r w:rsidR="00F574E2">
        <w:t>.</w:t>
      </w:r>
      <w:bookmarkEnd w:id="0"/>
    </w:p>
    <w:p w14:paraId="35916749" w14:textId="19248166" w:rsidR="001A6A99" w:rsidRPr="001F3984" w:rsidRDefault="004921B9" w:rsidP="001A6A99">
      <w:pPr>
        <w:pStyle w:val="Heading2"/>
      </w:pPr>
      <w:r>
        <w:t>Authority requirements</w:t>
      </w:r>
      <w:r w:rsidR="001A6A99" w:rsidRPr="001F3984">
        <w:t xml:space="preserve"> for </w:t>
      </w:r>
      <w:proofErr w:type="spellStart"/>
      <w:r w:rsidR="001A6A99">
        <w:t>pegfilgrastim</w:t>
      </w:r>
      <w:proofErr w:type="spellEnd"/>
    </w:p>
    <w:p w14:paraId="263418D0" w14:textId="3CF9EC0E" w:rsidR="001A6A99" w:rsidRDefault="001A6A99" w:rsidP="001A6A99">
      <w:pPr>
        <w:autoSpaceDE w:val="0"/>
        <w:autoSpaceDN w:val="0"/>
        <w:adjustRightInd w:val="0"/>
        <w:rPr>
          <w:rFonts w:cs="Arial"/>
        </w:rPr>
      </w:pPr>
      <w:r>
        <w:rPr>
          <w:rFonts w:cs="Arial"/>
        </w:rPr>
        <w:t xml:space="preserve">All brands of </w:t>
      </w:r>
      <w:proofErr w:type="spellStart"/>
      <w:r>
        <w:rPr>
          <w:rFonts w:cs="Arial"/>
        </w:rPr>
        <w:t>pegfilgrastim</w:t>
      </w:r>
      <w:proofErr w:type="spellEnd"/>
      <w:r>
        <w:rPr>
          <w:rFonts w:cs="Arial"/>
        </w:rPr>
        <w:t xml:space="preserve"> </w:t>
      </w:r>
      <w:bookmarkStart w:id="1" w:name="_Hlk85020642"/>
      <w:r>
        <w:rPr>
          <w:rFonts w:cs="Arial"/>
        </w:rPr>
        <w:t>are currently available as</w:t>
      </w:r>
      <w:r w:rsidRPr="0036638C">
        <w:rPr>
          <w:rFonts w:cs="Arial"/>
        </w:rPr>
        <w:t xml:space="preserve"> </w:t>
      </w:r>
      <w:bookmarkEnd w:id="1"/>
      <w:r>
        <w:rPr>
          <w:rFonts w:ascii="Times New Roman" w:hAnsi="Times New Roman"/>
          <w:color w:val="auto"/>
        </w:rPr>
        <w:fldChar w:fldCharType="begin"/>
      </w:r>
      <w:r>
        <w:instrText xml:space="preserve"> HYPERLINK "https://www.pbs.gov.au/info/publication/factsheets/shared/fact-sheet-streamlined-authorities" </w:instrText>
      </w:r>
      <w:r>
        <w:rPr>
          <w:rFonts w:ascii="Times New Roman" w:hAnsi="Times New Roman"/>
          <w:color w:val="auto"/>
        </w:rPr>
      </w:r>
      <w:r>
        <w:rPr>
          <w:rFonts w:ascii="Times New Roman" w:hAnsi="Times New Roman"/>
          <w:color w:val="auto"/>
        </w:rPr>
        <w:fldChar w:fldCharType="separate"/>
      </w:r>
      <w:r w:rsidRPr="00F6421D">
        <w:rPr>
          <w:rStyle w:val="Hyperlink"/>
          <w:rFonts w:cs="Arial"/>
        </w:rPr>
        <w:t>Authority Required (STREAMLINED)</w:t>
      </w:r>
      <w:r>
        <w:rPr>
          <w:rStyle w:val="Hyperlink"/>
          <w:rFonts w:cs="Arial"/>
        </w:rPr>
        <w:fldChar w:fldCharType="end"/>
      </w:r>
      <w:r w:rsidRPr="00F630E5">
        <w:rPr>
          <w:rStyle w:val="Hyperlink"/>
          <w:rFonts w:cs="Arial"/>
        </w:rPr>
        <w:t xml:space="preserve"> </w:t>
      </w:r>
      <w:r w:rsidRPr="0036638C">
        <w:rPr>
          <w:rFonts w:cs="Arial"/>
        </w:rPr>
        <w:t xml:space="preserve">in </w:t>
      </w:r>
      <w:r>
        <w:rPr>
          <w:rFonts w:cs="Arial"/>
        </w:rPr>
        <w:t xml:space="preserve">both </w:t>
      </w:r>
      <w:r w:rsidRPr="0036638C">
        <w:rPr>
          <w:rFonts w:cs="Arial"/>
        </w:rPr>
        <w:t>public</w:t>
      </w:r>
      <w:r>
        <w:rPr>
          <w:rFonts w:cs="Arial"/>
        </w:rPr>
        <w:t xml:space="preserve"> and private</w:t>
      </w:r>
      <w:r w:rsidRPr="0036638C">
        <w:rPr>
          <w:rFonts w:cs="Arial"/>
        </w:rPr>
        <w:t xml:space="preserve"> hospitals.</w:t>
      </w:r>
    </w:p>
    <w:p w14:paraId="02F0E3AD" w14:textId="66E4D6CB" w:rsidR="00C43E46" w:rsidRDefault="00C43E46" w:rsidP="00C43E46">
      <w:pPr>
        <w:rPr>
          <w:rFonts w:cs="Arial"/>
        </w:rPr>
      </w:pPr>
      <w:r>
        <w:rPr>
          <w:rFonts w:cs="Arial"/>
        </w:rPr>
        <w:t xml:space="preserve">Read the Schedule of Pharmaceutical Benefits for the restrictions for </w:t>
      </w:r>
      <w:hyperlink r:id="rId10" w:history="1">
        <w:proofErr w:type="spellStart"/>
        <w:r w:rsidRPr="00C43E46">
          <w:rPr>
            <w:rStyle w:val="Hyperlink"/>
            <w:rFonts w:cs="Arial"/>
          </w:rPr>
          <w:t>pegfilgrastim</w:t>
        </w:r>
        <w:proofErr w:type="spellEnd"/>
      </w:hyperlink>
      <w:r>
        <w:rPr>
          <w:rFonts w:cs="Arial"/>
        </w:rPr>
        <w:t>. The Schedule is also available via the</w:t>
      </w:r>
      <w:r w:rsidRPr="00A94669">
        <w:rPr>
          <w:rFonts w:cs="Arial"/>
        </w:rPr>
        <w:t xml:space="preserve"> </w:t>
      </w:r>
      <w:hyperlink r:id="rId11" w:history="1">
        <w:r>
          <w:rPr>
            <w:rStyle w:val="Hyperlink"/>
            <w:rFonts w:cs="Arial"/>
          </w:rPr>
          <w:t>PBS publications page</w:t>
        </w:r>
      </w:hyperlink>
      <w:r>
        <w:rPr>
          <w:rFonts w:cs="Arial"/>
        </w:rPr>
        <w:t xml:space="preserve">. </w:t>
      </w:r>
      <w:r w:rsidR="006D38EF">
        <w:t>Prescribing software</w:t>
      </w:r>
      <w:r w:rsidR="006D38EF">
        <w:rPr>
          <w:rFonts w:cs="Arial"/>
        </w:rPr>
        <w:t xml:space="preserve"> also contains eligibility details. Please select item codes carefully. O</w:t>
      </w:r>
      <w:r w:rsidR="006D38EF" w:rsidRPr="003D52F4">
        <w:rPr>
          <w:rFonts w:cs="Arial"/>
        </w:rPr>
        <w:t xml:space="preserve">ver time </w:t>
      </w:r>
      <w:r w:rsidR="006D38EF">
        <w:rPr>
          <w:rFonts w:cs="Arial"/>
        </w:rPr>
        <w:t xml:space="preserve">PBS </w:t>
      </w:r>
      <w:r w:rsidR="006D38EF" w:rsidRPr="003D52F4">
        <w:rPr>
          <w:rFonts w:cs="Arial"/>
        </w:rPr>
        <w:t>listing details may change – please consult the Schedule for current information.</w:t>
      </w:r>
    </w:p>
    <w:p w14:paraId="34B26B90" w14:textId="77777777" w:rsidR="001A6A99" w:rsidRPr="004B7B34" w:rsidRDefault="001A6A99" w:rsidP="001A6A99">
      <w:pPr>
        <w:pStyle w:val="Heading2"/>
      </w:pPr>
      <w:r w:rsidRPr="004B7B34">
        <w:rPr>
          <w:iCs w:val="0"/>
          <w:szCs w:val="24"/>
        </w:rPr>
        <w:t>Why are</w:t>
      </w:r>
      <w:r w:rsidRPr="004B7B34">
        <w:t xml:space="preserve"> biosimilar medicines important?</w:t>
      </w:r>
    </w:p>
    <w:p w14:paraId="2286BB49" w14:textId="77777777" w:rsidR="00F71016" w:rsidRPr="004B7B34" w:rsidRDefault="00F71016" w:rsidP="00F71016">
      <w:r>
        <w:rPr>
          <w:rFonts w:cs="Arial"/>
        </w:rPr>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7CE4720A" w14:textId="77777777" w:rsidR="001A6A99" w:rsidRPr="004B7B34" w:rsidRDefault="001A6A99" w:rsidP="001A6A99">
      <w:pPr>
        <w:pStyle w:val="Heading2"/>
      </w:pPr>
      <w:r w:rsidRPr="004B7B34">
        <w:t>How can greater use of biosimilars benefit the PBS?</w:t>
      </w:r>
    </w:p>
    <w:p w14:paraId="6404F7D9" w14:textId="77777777" w:rsidR="00542890" w:rsidRPr="00CF0739" w:rsidRDefault="00542890" w:rsidP="00542890">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w:t>
      </w:r>
      <w:r w:rsidRPr="00CF0739">
        <w:lastRenderedPageBreak/>
        <w:t>reduced. A price reduction only occurs if the weighted average discounting across all brands of a drug is greater than set percentages.</w:t>
      </w:r>
    </w:p>
    <w:p w14:paraId="17C25BFF" w14:textId="77777777" w:rsidR="00DC071A" w:rsidRPr="005535C9" w:rsidRDefault="00DC071A" w:rsidP="00DC071A">
      <w:r w:rsidRPr="005535C9">
        <w:t>Savings from statutory price reductions to PBS medicines are being re</w:t>
      </w:r>
      <w:r w:rsidRPr="005535C9">
        <w:rPr>
          <w:rFonts w:ascii="Cambria Math" w:hAnsi="Cambria Math" w:cs="Cambria Math"/>
        </w:rPr>
        <w:t>‐</w:t>
      </w:r>
      <w:r w:rsidRPr="005535C9">
        <w:t xml:space="preserve">invested in the PBS, ensuring all Australians continue to have the earliest possible access to new medicines. All Australian patients benefit from </w:t>
      </w:r>
      <w:r>
        <w:t>timely</w:t>
      </w:r>
      <w:r w:rsidRPr="005535C9">
        <w:t>, equitable and sustainable access to the most effective medicines through the PBS.</w:t>
      </w:r>
    </w:p>
    <w:p w14:paraId="388FEADB" w14:textId="5FA7B254" w:rsidR="001A6A99" w:rsidRPr="004B7B34" w:rsidRDefault="001A6A99" w:rsidP="001A6A99">
      <w:pPr>
        <w:rPr>
          <w:rFonts w:cs="Arial"/>
        </w:rPr>
      </w:pPr>
      <w:r w:rsidRPr="004B7B34">
        <w:rPr>
          <w:rFonts w:cs="Arial"/>
        </w:rPr>
        <w:t xml:space="preserve">Detailed information about PBS pricing, including Price Disclosure, is available on the </w:t>
      </w:r>
      <w:hyperlink r:id="rId12" w:history="1">
        <w:r w:rsidRPr="00165CB7">
          <w:rPr>
            <w:rStyle w:val="Hyperlink"/>
            <w:rFonts w:cs="Arial"/>
          </w:rPr>
          <w:t>PBS</w:t>
        </w:r>
        <w:r w:rsidR="00165CB7" w:rsidRPr="00165CB7">
          <w:rPr>
            <w:rStyle w:val="Hyperlink"/>
            <w:rFonts w:cs="Arial"/>
          </w:rPr>
          <w:t> </w:t>
        </w:r>
        <w:r w:rsidRPr="00165CB7">
          <w:rPr>
            <w:rStyle w:val="Hyperlink"/>
            <w:rFonts w:cs="Arial"/>
          </w:rPr>
          <w:t>website</w:t>
        </w:r>
      </w:hyperlink>
      <w:r w:rsidRPr="004B7B34">
        <w:rPr>
          <w:rFonts w:cs="Arial"/>
        </w:rPr>
        <w:t>.</w:t>
      </w:r>
    </w:p>
    <w:p w14:paraId="0431A143" w14:textId="77777777" w:rsidR="001A6A99" w:rsidRPr="00D673BE" w:rsidRDefault="001A6A99" w:rsidP="001A6A99">
      <w:pPr>
        <w:pStyle w:val="Heading2"/>
      </w:pPr>
      <w:r>
        <w:rPr>
          <w:rFonts w:hint="eastAsia"/>
        </w:rPr>
        <w:t>M</w:t>
      </w:r>
      <w:r w:rsidRPr="00D673BE">
        <w:t>ore Information</w:t>
      </w:r>
    </w:p>
    <w:p w14:paraId="28F99556" w14:textId="77777777" w:rsidR="00391662" w:rsidRPr="008C125D" w:rsidRDefault="00391662" w:rsidP="00391662">
      <w:bookmarkStart w:id="2" w:name="_Hlk114478776"/>
      <w:r w:rsidRPr="008C125D">
        <w:t>For more information, read</w:t>
      </w:r>
      <w:r>
        <w:t>:</w:t>
      </w:r>
    </w:p>
    <w:p w14:paraId="09E2D0AC" w14:textId="77777777" w:rsidR="00391662" w:rsidRPr="0041243E" w:rsidRDefault="00391662" w:rsidP="00391662">
      <w:pPr>
        <w:pStyle w:val="ListBullet"/>
        <w:numPr>
          <w:ilvl w:val="0"/>
          <w:numId w:val="17"/>
        </w:numPr>
        <w:rPr>
          <w:lang w:eastAsia="ko-KR"/>
        </w:rPr>
      </w:pPr>
      <w:r w:rsidRPr="008C125D">
        <w:rPr>
          <w:lang w:eastAsia="ko-KR"/>
        </w:rPr>
        <w:t>Department of Health and Aged Care website</w:t>
      </w:r>
      <w:r>
        <w:rPr>
          <w:lang w:eastAsia="ko-KR"/>
        </w:rPr>
        <w:t xml:space="preserve"> </w:t>
      </w:r>
      <w:hyperlink r:id="rId13" w:history="1">
        <w:r w:rsidRPr="008A247E">
          <w:rPr>
            <w:rStyle w:val="Hyperlink"/>
            <w:lang w:eastAsia="ko-KR"/>
          </w:rPr>
          <w:t>About medicines</w:t>
        </w:r>
      </w:hyperlink>
      <w:r>
        <w:rPr>
          <w:lang w:eastAsia="ko-KR"/>
        </w:rPr>
        <w:t xml:space="preserve"> page.</w:t>
      </w:r>
    </w:p>
    <w:p w14:paraId="5D6C1473" w14:textId="77777777" w:rsidR="00391662" w:rsidRPr="00D673BE" w:rsidRDefault="00391662" w:rsidP="00391662">
      <w:pPr>
        <w:pStyle w:val="ListBullet"/>
        <w:numPr>
          <w:ilvl w:val="0"/>
          <w:numId w:val="17"/>
        </w:numPr>
      </w:pPr>
      <w:r w:rsidRPr="008C125D">
        <w:rPr>
          <w:lang w:eastAsia="ko-KR"/>
        </w:rPr>
        <w:t>Therapeutic Goods Administration website</w:t>
      </w:r>
      <w:r>
        <w:rPr>
          <w:lang w:eastAsia="ko-KR"/>
        </w:rPr>
        <w:t xml:space="preserve"> </w:t>
      </w:r>
      <w:hyperlink r:id="rId14"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165961F0" w14:textId="6DCAFE47" w:rsidR="00391662" w:rsidRPr="00391662" w:rsidRDefault="00391662" w:rsidP="00391662">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r w:rsidRPr="00391662">
        <w:rPr>
          <w:rFonts w:cs="Arial"/>
        </w:rPr>
        <w:t xml:space="preserve">PBAC Public summary document for </w:t>
      </w:r>
      <w:hyperlink r:id="rId15" w:history="1">
        <w:proofErr w:type="spellStart"/>
        <w:r w:rsidRPr="00391662">
          <w:rPr>
            <w:rStyle w:val="Hyperlink"/>
            <w:lang w:eastAsia="ko-KR"/>
          </w:rPr>
          <w:t>Pelgraz</w:t>
        </w:r>
        <w:proofErr w:type="spellEnd"/>
      </w:hyperlink>
      <w:r>
        <w:rPr>
          <w:lang w:eastAsia="ko-KR"/>
        </w:rPr>
        <w:t>.</w:t>
      </w:r>
    </w:p>
    <w:p w14:paraId="4E5FA367" w14:textId="57297DC6" w:rsidR="00391662" w:rsidRPr="00391662" w:rsidRDefault="00391662" w:rsidP="00391662">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r w:rsidRPr="00391662">
        <w:rPr>
          <w:rFonts w:cs="Arial"/>
        </w:rPr>
        <w:t xml:space="preserve">PBAC Public summary document for </w:t>
      </w:r>
      <w:hyperlink r:id="rId16" w:history="1">
        <w:proofErr w:type="spellStart"/>
        <w:r w:rsidRPr="00391662">
          <w:rPr>
            <w:rStyle w:val="Hyperlink"/>
            <w:lang w:eastAsia="ko-KR"/>
          </w:rPr>
          <w:t>Ziextenzo</w:t>
        </w:r>
        <w:proofErr w:type="spellEnd"/>
      </w:hyperlink>
      <w:r>
        <w:rPr>
          <w:lang w:eastAsia="ko-KR"/>
        </w:rPr>
        <w:t>.</w:t>
      </w:r>
    </w:p>
    <w:p w14:paraId="7E0EE5B6" w14:textId="75803A59" w:rsidR="00391662" w:rsidRPr="008C125D" w:rsidRDefault="00391662" w:rsidP="00391662">
      <w:pPr>
        <w:pStyle w:val="ListBullet"/>
        <w:numPr>
          <w:ilvl w:val="0"/>
          <w:numId w:val="17"/>
        </w:numPr>
        <w:rPr>
          <w:rFonts w:cs="Arial"/>
          <w:lang w:eastAsia="ko-KR"/>
        </w:rPr>
      </w:pPr>
      <w:r w:rsidRPr="009F7989">
        <w:rPr>
          <w:lang w:eastAsia="ko-KR"/>
        </w:rPr>
        <w:t>The</w:t>
      </w:r>
      <w:r w:rsidRPr="009F7989">
        <w:t xml:space="preserve"> </w:t>
      </w:r>
      <w:hyperlink r:id="rId17" w:history="1">
        <w:r w:rsidRPr="009F7989">
          <w:rPr>
            <w:rStyle w:val="Hyperlink"/>
          </w:rPr>
          <w:t>Biosimilar Education Hub</w:t>
        </w:r>
      </w:hyperlink>
      <w:r w:rsidRPr="009F7989">
        <w:t xml:space="preserve"> </w:t>
      </w:r>
      <w:r>
        <w:t xml:space="preserve">(Generic and Biosimilar Medicines Association Education website, originally funded by the </w:t>
      </w:r>
      <w:r w:rsidR="00F820D9">
        <w:t>Australian Government</w:t>
      </w:r>
      <w:r>
        <w:t>).</w:t>
      </w:r>
    </w:p>
    <w:p w14:paraId="4494AF8F" w14:textId="38E4BD97" w:rsidR="009040E9" w:rsidRPr="00DB1C66" w:rsidRDefault="00391662" w:rsidP="00DB1C66">
      <w:r w:rsidRPr="00DB1C66">
        <w:t xml:space="preserve">Further information for healthcare professionals regarding the use of </w:t>
      </w:r>
      <w:hyperlink r:id="rId18" w:history="1">
        <w:r w:rsidRPr="00DB1C66">
          <w:rPr>
            <w:rStyle w:val="Hyperlink"/>
          </w:rPr>
          <w:t>PBS Authorities</w:t>
        </w:r>
      </w:hyperlink>
      <w:r w:rsidRPr="00DB1C66">
        <w:t xml:space="preserve"> and </w:t>
      </w:r>
      <w:hyperlink r:id="rId19" w:history="1">
        <w:r w:rsidRPr="00DB1C66">
          <w:rPr>
            <w:rStyle w:val="Hyperlink"/>
          </w:rPr>
          <w:t>claiming of PBS benefits</w:t>
        </w:r>
      </w:hyperlink>
      <w:r w:rsidRPr="00DB1C66">
        <w:t xml:space="preserve"> is available at the </w:t>
      </w:r>
      <w:hyperlink r:id="rId20" w:history="1">
        <w:r w:rsidRPr="00DB1C66">
          <w:rPr>
            <w:rStyle w:val="Hyperlink"/>
          </w:rPr>
          <w:t>Services Australia</w:t>
        </w:r>
      </w:hyperlink>
      <w:r w:rsidRPr="00DB1C66">
        <w:t xml:space="preserve"> website.</w:t>
      </w:r>
      <w:bookmarkEnd w:id="2"/>
    </w:p>
    <w:sectPr w:rsidR="009040E9" w:rsidRPr="00DB1C66" w:rsidSect="00B53987">
      <w:headerReference w:type="default"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3FC0" w14:textId="77777777" w:rsidR="00D86D4D" w:rsidRDefault="00D86D4D" w:rsidP="006B56BB">
      <w:r>
        <w:separator/>
      </w:r>
    </w:p>
    <w:p w14:paraId="1ABC95A0" w14:textId="77777777" w:rsidR="00D86D4D" w:rsidRDefault="00D86D4D"/>
  </w:endnote>
  <w:endnote w:type="continuationSeparator" w:id="0">
    <w:p w14:paraId="4BC6A0A9" w14:textId="77777777" w:rsidR="00D86D4D" w:rsidRDefault="00D86D4D" w:rsidP="006B56BB">
      <w:r>
        <w:continuationSeparator/>
      </w:r>
    </w:p>
    <w:p w14:paraId="1E0E540E" w14:textId="77777777" w:rsidR="00D86D4D" w:rsidRDefault="00D86D4D"/>
  </w:endnote>
  <w:endnote w:type="continuationNotice" w:id="1">
    <w:p w14:paraId="7CE02108" w14:textId="77777777" w:rsidR="00D86D4D" w:rsidRDefault="00D86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4D02FB5D" w:rsidR="00B53987" w:rsidRDefault="00AA262B" w:rsidP="00B53987">
    <w:pPr>
      <w:pStyle w:val="Footer"/>
    </w:pPr>
    <w:r>
      <w:t xml:space="preserve">Department of Health and Aged Care </w:t>
    </w:r>
    <w:r w:rsidR="00B53987">
      <w:t xml:space="preserve">– </w:t>
    </w:r>
    <w:r w:rsidR="007B1FEE">
      <w:t xml:space="preserve">Pharmaceutical Benefits Scheme Biosimilar </w:t>
    </w:r>
    <w:proofErr w:type="spellStart"/>
    <w:r w:rsidR="00CC7DCE">
      <w:t>Pegfilgrastim</w:t>
    </w:r>
    <w:proofErr w:type="spellEnd"/>
    <w:r w:rsidR="007B1FEE">
      <w:t xml:space="preserve">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74574807" w:rsidR="00B53987" w:rsidRDefault="00AA262B" w:rsidP="00B53987">
    <w:pPr>
      <w:pStyle w:val="Footer"/>
    </w:pPr>
    <w:r>
      <w:t xml:space="preserve">Department of Health and Aged Care </w:t>
    </w:r>
    <w:r w:rsidR="00B53987">
      <w:t xml:space="preserve">– </w:t>
    </w:r>
    <w:r w:rsidR="007B1FEE">
      <w:t xml:space="preserve">Pharmaceutical Benefits Scheme Biosimilar </w:t>
    </w:r>
    <w:proofErr w:type="spellStart"/>
    <w:r w:rsidR="00CC7DCE">
      <w:t>Pegfilgrastim</w:t>
    </w:r>
    <w:proofErr w:type="spellEnd"/>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7BE0" w14:textId="77777777" w:rsidR="00D86D4D" w:rsidRDefault="00D86D4D" w:rsidP="006B56BB">
      <w:r>
        <w:separator/>
      </w:r>
    </w:p>
    <w:p w14:paraId="3BE04692" w14:textId="77777777" w:rsidR="00D86D4D" w:rsidRDefault="00D86D4D"/>
  </w:footnote>
  <w:footnote w:type="continuationSeparator" w:id="0">
    <w:p w14:paraId="71047C33" w14:textId="77777777" w:rsidR="00D86D4D" w:rsidRDefault="00D86D4D" w:rsidP="006B56BB">
      <w:r>
        <w:continuationSeparator/>
      </w:r>
    </w:p>
    <w:p w14:paraId="541D989A" w14:textId="77777777" w:rsidR="00D86D4D" w:rsidRDefault="00D86D4D"/>
  </w:footnote>
  <w:footnote w:type="continuationNotice" w:id="1">
    <w:p w14:paraId="1A950DC7" w14:textId="77777777" w:rsidR="00D86D4D" w:rsidRDefault="00D86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74890941">
    <w:abstractNumId w:val="7"/>
  </w:num>
  <w:num w:numId="2" w16cid:durableId="838738298">
    <w:abstractNumId w:val="15"/>
  </w:num>
  <w:num w:numId="3" w16cid:durableId="1978798468">
    <w:abstractNumId w:val="17"/>
  </w:num>
  <w:num w:numId="4" w16cid:durableId="408620983">
    <w:abstractNumId w:val="8"/>
  </w:num>
  <w:num w:numId="5" w16cid:durableId="625475840">
    <w:abstractNumId w:val="8"/>
    <w:lvlOverride w:ilvl="0">
      <w:startOverride w:val="1"/>
    </w:lvlOverride>
  </w:num>
  <w:num w:numId="6" w16cid:durableId="138496084">
    <w:abstractNumId w:val="9"/>
  </w:num>
  <w:num w:numId="7" w16cid:durableId="28267232">
    <w:abstractNumId w:val="13"/>
  </w:num>
  <w:num w:numId="8" w16cid:durableId="934558843">
    <w:abstractNumId w:val="16"/>
  </w:num>
  <w:num w:numId="9" w16cid:durableId="2098745013">
    <w:abstractNumId w:val="5"/>
  </w:num>
  <w:num w:numId="10" w16cid:durableId="1854302311">
    <w:abstractNumId w:val="4"/>
  </w:num>
  <w:num w:numId="11" w16cid:durableId="161700827">
    <w:abstractNumId w:val="3"/>
  </w:num>
  <w:num w:numId="12" w16cid:durableId="772897090">
    <w:abstractNumId w:val="2"/>
  </w:num>
  <w:num w:numId="13" w16cid:durableId="1854371479">
    <w:abstractNumId w:val="6"/>
  </w:num>
  <w:num w:numId="14" w16cid:durableId="358438610">
    <w:abstractNumId w:val="1"/>
  </w:num>
  <w:num w:numId="15" w16cid:durableId="1203517774">
    <w:abstractNumId w:val="0"/>
  </w:num>
  <w:num w:numId="16" w16cid:durableId="1679691884">
    <w:abstractNumId w:val="18"/>
  </w:num>
  <w:num w:numId="17" w16cid:durableId="1073358664">
    <w:abstractNumId w:val="10"/>
  </w:num>
  <w:num w:numId="18" w16cid:durableId="2117626777">
    <w:abstractNumId w:val="11"/>
  </w:num>
  <w:num w:numId="19" w16cid:durableId="140394770">
    <w:abstractNumId w:val="12"/>
  </w:num>
  <w:num w:numId="20" w16cid:durableId="501091909">
    <w:abstractNumId w:val="10"/>
  </w:num>
  <w:num w:numId="21" w16cid:durableId="824052008">
    <w:abstractNumId w:val="12"/>
  </w:num>
  <w:num w:numId="22" w16cid:durableId="2116243209">
    <w:abstractNumId w:val="18"/>
  </w:num>
  <w:num w:numId="23" w16cid:durableId="2145852136">
    <w:abstractNumId w:val="15"/>
  </w:num>
  <w:num w:numId="24" w16cid:durableId="711802847">
    <w:abstractNumId w:val="17"/>
  </w:num>
  <w:num w:numId="25" w16cid:durableId="219482842">
    <w:abstractNumId w:val="8"/>
  </w:num>
  <w:num w:numId="26" w16cid:durableId="5254830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AC0"/>
    <w:rsid w:val="00117F8A"/>
    <w:rsid w:val="00121B9B"/>
    <w:rsid w:val="00122ADC"/>
    <w:rsid w:val="00130F59"/>
    <w:rsid w:val="00133EC0"/>
    <w:rsid w:val="00141CE5"/>
    <w:rsid w:val="00144908"/>
    <w:rsid w:val="00156D96"/>
    <w:rsid w:val="001571C7"/>
    <w:rsid w:val="00161094"/>
    <w:rsid w:val="00165CB7"/>
    <w:rsid w:val="0017665C"/>
    <w:rsid w:val="00177AD2"/>
    <w:rsid w:val="001815A8"/>
    <w:rsid w:val="001840FA"/>
    <w:rsid w:val="00190079"/>
    <w:rsid w:val="0019622E"/>
    <w:rsid w:val="001966A7"/>
    <w:rsid w:val="001A4627"/>
    <w:rsid w:val="001A4979"/>
    <w:rsid w:val="001A6A99"/>
    <w:rsid w:val="001A6DD1"/>
    <w:rsid w:val="001B15D3"/>
    <w:rsid w:val="001B3443"/>
    <w:rsid w:val="001C0326"/>
    <w:rsid w:val="001C192F"/>
    <w:rsid w:val="001C3C42"/>
    <w:rsid w:val="001D7869"/>
    <w:rsid w:val="002026CD"/>
    <w:rsid w:val="002033FC"/>
    <w:rsid w:val="002044BB"/>
    <w:rsid w:val="00206B90"/>
    <w:rsid w:val="00210B09"/>
    <w:rsid w:val="00210C9E"/>
    <w:rsid w:val="00211840"/>
    <w:rsid w:val="00213481"/>
    <w:rsid w:val="00220E5F"/>
    <w:rsid w:val="002212B5"/>
    <w:rsid w:val="0022599C"/>
    <w:rsid w:val="00226668"/>
    <w:rsid w:val="00233286"/>
    <w:rsid w:val="00233809"/>
    <w:rsid w:val="00235792"/>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2534"/>
    <w:rsid w:val="002F3AE3"/>
    <w:rsid w:val="0030464B"/>
    <w:rsid w:val="0030786C"/>
    <w:rsid w:val="003233DE"/>
    <w:rsid w:val="0032466B"/>
    <w:rsid w:val="003330EB"/>
    <w:rsid w:val="003415FD"/>
    <w:rsid w:val="003429F0"/>
    <w:rsid w:val="00345A82"/>
    <w:rsid w:val="0035097A"/>
    <w:rsid w:val="003525D0"/>
    <w:rsid w:val="003540A4"/>
    <w:rsid w:val="00357BCC"/>
    <w:rsid w:val="00360E4E"/>
    <w:rsid w:val="00370AAA"/>
    <w:rsid w:val="00375E9A"/>
    <w:rsid w:val="00375F77"/>
    <w:rsid w:val="00381BBE"/>
    <w:rsid w:val="00382903"/>
    <w:rsid w:val="003846FF"/>
    <w:rsid w:val="003857D4"/>
    <w:rsid w:val="00385AD4"/>
    <w:rsid w:val="00387924"/>
    <w:rsid w:val="00391662"/>
    <w:rsid w:val="00393345"/>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95E"/>
    <w:rsid w:val="00440D65"/>
    <w:rsid w:val="004435E6"/>
    <w:rsid w:val="00446E6A"/>
    <w:rsid w:val="00447E31"/>
    <w:rsid w:val="00453923"/>
    <w:rsid w:val="00454B9B"/>
    <w:rsid w:val="00457858"/>
    <w:rsid w:val="00460B0B"/>
    <w:rsid w:val="00460C47"/>
    <w:rsid w:val="00461023"/>
    <w:rsid w:val="00462FAC"/>
    <w:rsid w:val="00464631"/>
    <w:rsid w:val="00464B79"/>
    <w:rsid w:val="00467BBF"/>
    <w:rsid w:val="00482D02"/>
    <w:rsid w:val="00483019"/>
    <w:rsid w:val="0048593C"/>
    <w:rsid w:val="004867E2"/>
    <w:rsid w:val="004921B9"/>
    <w:rsid w:val="004929A9"/>
    <w:rsid w:val="004A78D9"/>
    <w:rsid w:val="004C6BCF"/>
    <w:rsid w:val="004D58BF"/>
    <w:rsid w:val="004E4335"/>
    <w:rsid w:val="004F13EE"/>
    <w:rsid w:val="004F2022"/>
    <w:rsid w:val="004F7C05"/>
    <w:rsid w:val="00501C94"/>
    <w:rsid w:val="00504FD3"/>
    <w:rsid w:val="00506432"/>
    <w:rsid w:val="00506E82"/>
    <w:rsid w:val="0052051D"/>
    <w:rsid w:val="00523EF4"/>
    <w:rsid w:val="00542890"/>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C7064"/>
    <w:rsid w:val="005C7BDE"/>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64AC"/>
    <w:rsid w:val="006B2286"/>
    <w:rsid w:val="006B56BB"/>
    <w:rsid w:val="006C77A8"/>
    <w:rsid w:val="006D38EF"/>
    <w:rsid w:val="006D4098"/>
    <w:rsid w:val="006D7681"/>
    <w:rsid w:val="006D7B2E"/>
    <w:rsid w:val="006E02EA"/>
    <w:rsid w:val="006E0968"/>
    <w:rsid w:val="006E2AF6"/>
    <w:rsid w:val="00701275"/>
    <w:rsid w:val="00707F56"/>
    <w:rsid w:val="0071064A"/>
    <w:rsid w:val="00713558"/>
    <w:rsid w:val="00720D08"/>
    <w:rsid w:val="007263B9"/>
    <w:rsid w:val="007334F8"/>
    <w:rsid w:val="007339CD"/>
    <w:rsid w:val="007359D8"/>
    <w:rsid w:val="007362D4"/>
    <w:rsid w:val="007405DF"/>
    <w:rsid w:val="0076672A"/>
    <w:rsid w:val="00771FBC"/>
    <w:rsid w:val="00775E45"/>
    <w:rsid w:val="00776E74"/>
    <w:rsid w:val="00785169"/>
    <w:rsid w:val="007954AB"/>
    <w:rsid w:val="007A14C5"/>
    <w:rsid w:val="007A4A10"/>
    <w:rsid w:val="007B1760"/>
    <w:rsid w:val="007B1FEE"/>
    <w:rsid w:val="007C1FDC"/>
    <w:rsid w:val="007C434D"/>
    <w:rsid w:val="007C6D9C"/>
    <w:rsid w:val="007C7DDB"/>
    <w:rsid w:val="007D2CC7"/>
    <w:rsid w:val="007D673D"/>
    <w:rsid w:val="007E0FB8"/>
    <w:rsid w:val="007E4D09"/>
    <w:rsid w:val="007F2220"/>
    <w:rsid w:val="007F4526"/>
    <w:rsid w:val="007F4B3E"/>
    <w:rsid w:val="008127AF"/>
    <w:rsid w:val="00812B46"/>
    <w:rsid w:val="00815700"/>
    <w:rsid w:val="00822DF5"/>
    <w:rsid w:val="008264EB"/>
    <w:rsid w:val="00826B8F"/>
    <w:rsid w:val="00831E8A"/>
    <w:rsid w:val="00835C76"/>
    <w:rsid w:val="008376E2"/>
    <w:rsid w:val="00843049"/>
    <w:rsid w:val="0085209B"/>
    <w:rsid w:val="00854B11"/>
    <w:rsid w:val="00856B66"/>
    <w:rsid w:val="008601AC"/>
    <w:rsid w:val="00861A5F"/>
    <w:rsid w:val="008644AD"/>
    <w:rsid w:val="00865735"/>
    <w:rsid w:val="00865DDB"/>
    <w:rsid w:val="00866675"/>
    <w:rsid w:val="00867538"/>
    <w:rsid w:val="00873D90"/>
    <w:rsid w:val="00873FC8"/>
    <w:rsid w:val="00884C63"/>
    <w:rsid w:val="00885908"/>
    <w:rsid w:val="008864B7"/>
    <w:rsid w:val="0089677E"/>
    <w:rsid w:val="008A4CA3"/>
    <w:rsid w:val="008A7438"/>
    <w:rsid w:val="008B1334"/>
    <w:rsid w:val="008B25C7"/>
    <w:rsid w:val="008C0278"/>
    <w:rsid w:val="008C24E9"/>
    <w:rsid w:val="008D0533"/>
    <w:rsid w:val="008D42CB"/>
    <w:rsid w:val="008D48C9"/>
    <w:rsid w:val="008D6381"/>
    <w:rsid w:val="008E0C77"/>
    <w:rsid w:val="008E625F"/>
    <w:rsid w:val="008F264D"/>
    <w:rsid w:val="00902F5E"/>
    <w:rsid w:val="009040E9"/>
    <w:rsid w:val="009074E1"/>
    <w:rsid w:val="009112F7"/>
    <w:rsid w:val="009122AF"/>
    <w:rsid w:val="00912D54"/>
    <w:rsid w:val="0091389F"/>
    <w:rsid w:val="009208F7"/>
    <w:rsid w:val="00921649"/>
    <w:rsid w:val="0092169E"/>
    <w:rsid w:val="00922517"/>
    <w:rsid w:val="00922722"/>
    <w:rsid w:val="00923229"/>
    <w:rsid w:val="009258B3"/>
    <w:rsid w:val="009261E6"/>
    <w:rsid w:val="009268E1"/>
    <w:rsid w:val="009271EE"/>
    <w:rsid w:val="00930310"/>
    <w:rsid w:val="009344AE"/>
    <w:rsid w:val="009344DE"/>
    <w:rsid w:val="009344FC"/>
    <w:rsid w:val="00945E7F"/>
    <w:rsid w:val="009557C1"/>
    <w:rsid w:val="00960D6E"/>
    <w:rsid w:val="00974B59"/>
    <w:rsid w:val="0098340B"/>
    <w:rsid w:val="00986830"/>
    <w:rsid w:val="009924C3"/>
    <w:rsid w:val="00993102"/>
    <w:rsid w:val="00994876"/>
    <w:rsid w:val="00996B8C"/>
    <w:rsid w:val="009B1570"/>
    <w:rsid w:val="009B2EBD"/>
    <w:rsid w:val="009B5FE8"/>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12E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27FA"/>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1AD7"/>
    <w:rsid w:val="00C43E46"/>
    <w:rsid w:val="00C4631F"/>
    <w:rsid w:val="00C47CDE"/>
    <w:rsid w:val="00C50E16"/>
    <w:rsid w:val="00C55258"/>
    <w:rsid w:val="00C56516"/>
    <w:rsid w:val="00C636A6"/>
    <w:rsid w:val="00C82EEB"/>
    <w:rsid w:val="00C971DC"/>
    <w:rsid w:val="00CA0FBA"/>
    <w:rsid w:val="00CA16B7"/>
    <w:rsid w:val="00CA62AE"/>
    <w:rsid w:val="00CB5B1A"/>
    <w:rsid w:val="00CC220B"/>
    <w:rsid w:val="00CC2E54"/>
    <w:rsid w:val="00CC5C43"/>
    <w:rsid w:val="00CC785F"/>
    <w:rsid w:val="00CC7DCE"/>
    <w:rsid w:val="00CD02AE"/>
    <w:rsid w:val="00CD2A4F"/>
    <w:rsid w:val="00CE03CA"/>
    <w:rsid w:val="00CE22F1"/>
    <w:rsid w:val="00CE50F2"/>
    <w:rsid w:val="00CE6502"/>
    <w:rsid w:val="00CF7D3C"/>
    <w:rsid w:val="00D01F09"/>
    <w:rsid w:val="00D147EB"/>
    <w:rsid w:val="00D34667"/>
    <w:rsid w:val="00D401E1"/>
    <w:rsid w:val="00D408B4"/>
    <w:rsid w:val="00D43EF8"/>
    <w:rsid w:val="00D524C8"/>
    <w:rsid w:val="00D65099"/>
    <w:rsid w:val="00D70E24"/>
    <w:rsid w:val="00D72B61"/>
    <w:rsid w:val="00D80119"/>
    <w:rsid w:val="00D86D4D"/>
    <w:rsid w:val="00DA3D1D"/>
    <w:rsid w:val="00DB1C66"/>
    <w:rsid w:val="00DB6286"/>
    <w:rsid w:val="00DB645F"/>
    <w:rsid w:val="00DB76E9"/>
    <w:rsid w:val="00DC071A"/>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547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5F3"/>
    <w:rsid w:val="00F1463F"/>
    <w:rsid w:val="00F21302"/>
    <w:rsid w:val="00F2430D"/>
    <w:rsid w:val="00F321DE"/>
    <w:rsid w:val="00F33777"/>
    <w:rsid w:val="00F40648"/>
    <w:rsid w:val="00F47DA2"/>
    <w:rsid w:val="00F519FC"/>
    <w:rsid w:val="00F574E2"/>
    <w:rsid w:val="00F6239D"/>
    <w:rsid w:val="00F71016"/>
    <w:rsid w:val="00F715D2"/>
    <w:rsid w:val="00F7274F"/>
    <w:rsid w:val="00F74E84"/>
    <w:rsid w:val="00F76FA8"/>
    <w:rsid w:val="00F820D9"/>
    <w:rsid w:val="00F93F08"/>
    <w:rsid w:val="00F94CED"/>
    <w:rsid w:val="00FA02BB"/>
    <w:rsid w:val="00FA2CEE"/>
    <w:rsid w:val="00FA318C"/>
    <w:rsid w:val="00FB6F92"/>
    <w:rsid w:val="00FC026E"/>
    <w:rsid w:val="00FC5124"/>
    <w:rsid w:val="00FD4731"/>
    <w:rsid w:val="00FD6768"/>
    <w:rsid w:val="00FE5234"/>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5C7064"/>
    <w:rPr>
      <w:color w:val="800080" w:themeColor="followedHyperlink"/>
      <w:u w:val="single"/>
    </w:rPr>
  </w:style>
  <w:style w:type="paragraph" w:customStyle="1" w:styleId="Normal2">
    <w:name w:val="Normal2"/>
    <w:basedOn w:val="Normal"/>
    <w:link w:val="Normal2Char"/>
    <w:qFormat/>
    <w:rsid w:val="007F4526"/>
    <w:rPr>
      <w:color w:val="auto"/>
    </w:rPr>
  </w:style>
  <w:style w:type="character" w:customStyle="1" w:styleId="Normal2Char">
    <w:name w:val="Normal2 Char"/>
    <w:basedOn w:val="DefaultParagraphFont"/>
    <w:link w:val="Normal2"/>
    <w:rsid w:val="007F4526"/>
    <w:rPr>
      <w:rFonts w:ascii="Arial" w:hAnsi="Arial"/>
      <w:sz w:val="22"/>
      <w:szCs w:val="24"/>
      <w:lang w:eastAsia="en-US"/>
    </w:rPr>
  </w:style>
  <w:style w:type="paragraph" w:customStyle="1" w:styleId="Centeredtext">
    <w:name w:val="Centered text"/>
    <w:basedOn w:val="Normal"/>
    <w:link w:val="CenteredtextChar"/>
    <w:qFormat/>
    <w:rsid w:val="007F4526"/>
    <w:pPr>
      <w:spacing w:line="240" w:lineRule="auto"/>
      <w:jc w:val="center"/>
    </w:pPr>
    <w:rPr>
      <w:rFonts w:eastAsiaTheme="minorEastAsia"/>
      <w:color w:val="auto"/>
      <w:lang w:eastAsia="en-AU"/>
    </w:rPr>
  </w:style>
  <w:style w:type="character" w:customStyle="1" w:styleId="CenteredtextChar">
    <w:name w:val="Centered text Char"/>
    <w:basedOn w:val="DefaultParagraphFont"/>
    <w:link w:val="Centeredtext"/>
    <w:rsid w:val="007F4526"/>
    <w:rPr>
      <w:rFonts w:ascii="Arial" w:eastAsiaTheme="minorEastAsia" w:hAnsi="Arial"/>
      <w:sz w:val="22"/>
      <w:szCs w:val="24"/>
    </w:rPr>
  </w:style>
  <w:style w:type="character" w:styleId="UnresolvedMention">
    <w:name w:val="Unresolved Mention"/>
    <w:basedOn w:val="DefaultParagraphFont"/>
    <w:uiPriority w:val="99"/>
    <w:semiHidden/>
    <w:unhideWhenUsed/>
    <w:rsid w:val="00C43E46"/>
    <w:rPr>
      <w:color w:val="605E5C"/>
      <w:shd w:val="clear" w:color="auto" w:fill="E1DFDD"/>
    </w:rPr>
  </w:style>
  <w:style w:type="paragraph" w:styleId="Revision">
    <w:name w:val="Revision"/>
    <w:hidden/>
    <w:uiPriority w:val="99"/>
    <w:semiHidden/>
    <w:rsid w:val="00483019"/>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browse/section-100/s100-highly-specialised-drugs" TargetMode="External"/><Relationship Id="rId13" Type="http://schemas.openxmlformats.org/officeDocument/2006/relationships/hyperlink" Target="http://www.health.gov.au/biosimilars" TargetMode="External"/><Relationship Id="rId18" Type="http://schemas.openxmlformats.org/officeDocument/2006/relationships/hyperlink" Target="https://www.servicesaustralia.gov.au/pharmaceutical-benefits-sche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bs.gov.au/info/industry/pricing" TargetMode="External"/><Relationship Id="rId17" Type="http://schemas.openxmlformats.org/officeDocument/2006/relationships/hyperlink" Target="https://biosimilarhub.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bs.gov.au/industry/listing/elements/pbac-meetings/psd/2019-11/files/pegfilgrastim-psd-november-2019.pdf" TargetMode="External"/><Relationship Id="rId20" Type="http://schemas.openxmlformats.org/officeDocument/2006/relationships/hyperlink" Target="https://www.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browse/publicat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bs.gov.au/industry/listing/elements/pbac-meetings/psd/2020-03/files/pegfilgrastim-psd-march-2020.pdf" TargetMode="External"/><Relationship Id="rId23" Type="http://schemas.openxmlformats.org/officeDocument/2006/relationships/header" Target="header2.xml"/><Relationship Id="rId10" Type="http://schemas.openxmlformats.org/officeDocument/2006/relationships/hyperlink" Target="https://www.pbs.gov.au/pbs/search?term=pegfilgrastim" TargetMode="External"/><Relationship Id="rId19" Type="http://schemas.openxmlformats.org/officeDocument/2006/relationships/hyperlink" Target="https://www.servicesaustralia.gov.au/claim-benefit-medicare-benefits-for-health-professionals?context=34076" TargetMode="External"/><Relationship Id="rId4" Type="http://schemas.openxmlformats.org/officeDocument/2006/relationships/settings" Target="settings.xml"/><Relationship Id="rId9" Type="http://schemas.openxmlformats.org/officeDocument/2006/relationships/hyperlink" Target="https://www.nps.org.au/medical-info/medicine-finder" TargetMode="External"/><Relationship Id="rId14" Type="http://schemas.openxmlformats.org/officeDocument/2006/relationships/hyperlink" Target="https://www.tga.gov.au/resources/resource/guidance/biosimilar-medicines-regulation"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Biosimilar medicine fact sheet – pegfilgrastim</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 fact sheet – pegfilgrastim</dc:title>
  <dc:subject/>
  <dc:creator/>
  <cp:keywords>medicines;</cp:keywords>
  <cp:lastModifiedBy/>
  <cp:revision>1</cp:revision>
  <dcterms:created xsi:type="dcterms:W3CDTF">2024-02-22T05:38:00Z</dcterms:created>
  <dcterms:modified xsi:type="dcterms:W3CDTF">2024-02-22T05:38:00Z</dcterms:modified>
</cp:coreProperties>
</file>