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21DB" w14:textId="22DF1ABB" w:rsidR="001A6DD1" w:rsidRPr="00631E8F" w:rsidRDefault="001A6DD1" w:rsidP="00631E8F">
      <w:pPr>
        <w:pStyle w:val="Heading1"/>
      </w:pPr>
      <w:r w:rsidRPr="005C0FEE">
        <w:t>Pharmaceutical Benefits Scheme</w:t>
      </w:r>
      <w:r w:rsidR="00631E8F">
        <w:t xml:space="preserve"> </w:t>
      </w:r>
      <w:r w:rsidR="00631E8F" w:rsidRPr="00631E8F">
        <w:t>–</w:t>
      </w:r>
      <w:r w:rsidR="00631E8F">
        <w:t xml:space="preserve"> </w:t>
      </w:r>
      <w:r>
        <w:t xml:space="preserve">Biosimilar </w:t>
      </w:r>
      <w:r w:rsidR="00CC2C45">
        <w:t>Etanercept</w:t>
      </w:r>
    </w:p>
    <w:p w14:paraId="098A0477" w14:textId="77777777" w:rsidR="00CC2C45" w:rsidRDefault="00CC2C45" w:rsidP="00631E8F">
      <w:pPr>
        <w:rPr>
          <w:lang w:eastAsia="ko-KR"/>
        </w:rPr>
      </w:pPr>
      <w:r>
        <w:rPr>
          <w:lang w:eastAsia="ko-KR"/>
        </w:rPr>
        <w:t>Brenzys</w:t>
      </w:r>
      <w:r>
        <w:rPr>
          <w:vertAlign w:val="superscript"/>
        </w:rPr>
        <w:t>®</w:t>
      </w:r>
      <w:r>
        <w:rPr>
          <w:lang w:eastAsia="ko-KR"/>
        </w:rPr>
        <w:t xml:space="preserve"> is a biosimilar brand of etanercept which was</w:t>
      </w:r>
      <w:r w:rsidRPr="00FC47CD">
        <w:rPr>
          <w:lang w:eastAsia="ko-KR"/>
        </w:rPr>
        <w:t xml:space="preserve"> listed on the Pharmaceutical Ben</w:t>
      </w:r>
      <w:r>
        <w:rPr>
          <w:lang w:eastAsia="ko-KR"/>
        </w:rPr>
        <w:t xml:space="preserve">efits Scheme (PBS) on 1 April 2017. This brand is listed under the </w:t>
      </w:r>
      <w:hyperlink r:id="rId8" w:history="1">
        <w:r w:rsidRPr="00786E3B">
          <w:rPr>
            <w:rStyle w:val="Hyperlink"/>
            <w:lang w:eastAsia="ko-KR"/>
          </w:rPr>
          <w:t>Section 100 Highly Specialised Drugs Program</w:t>
        </w:r>
      </w:hyperlink>
      <w:r>
        <w:rPr>
          <w:lang w:eastAsia="ko-KR"/>
        </w:rPr>
        <w:t xml:space="preserve"> (HSD Program).and the PBS General Schedule.</w:t>
      </w:r>
    </w:p>
    <w:p w14:paraId="0ED9FB5C" w14:textId="77777777" w:rsidR="00CC2C45" w:rsidRDefault="00CC2C45" w:rsidP="00CC2C45">
      <w:pPr>
        <w:pStyle w:val="Heading2"/>
      </w:pPr>
      <w:r>
        <w:t>What are biological and biosimilar medicines?</w:t>
      </w:r>
    </w:p>
    <w:p w14:paraId="5B8CBFC1" w14:textId="77777777" w:rsidR="00CC2C45" w:rsidRDefault="00CC2C45" w:rsidP="00CC2C45">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41A525F5" w14:textId="47F6D4F1" w:rsidR="00CC2C45" w:rsidRDefault="00CC2C45" w:rsidP="00CC2C45">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77ADEF7C" w14:textId="77777777" w:rsidR="00CC2C45" w:rsidRDefault="00CC2C45" w:rsidP="00CC2C45">
      <w:r>
        <w:t xml:space="preserve">Biosimilar medicines </w:t>
      </w:r>
      <w:r w:rsidRPr="00D673BE">
        <w:t>have been tested and shown to</w:t>
      </w:r>
      <w:r>
        <w:t xml:space="preserve"> </w:t>
      </w:r>
      <w:r w:rsidRPr="00D673BE">
        <w:t>be as safe and effective as the reference biological medicines</w:t>
      </w:r>
      <w:r>
        <w:t>.</w:t>
      </w:r>
    </w:p>
    <w:p w14:paraId="66C94CD3" w14:textId="44662934" w:rsidR="00CC2C45" w:rsidRDefault="00CC2C45" w:rsidP="00CC2C45">
      <w:pPr>
        <w:pStyle w:val="Heading2"/>
      </w:pPr>
      <w:r>
        <w:t>How is biosimilarity determined?</w:t>
      </w:r>
    </w:p>
    <w:p w14:paraId="53952054" w14:textId="77777777" w:rsidR="00CC2C45" w:rsidRPr="00396AEA" w:rsidRDefault="00CC2C45" w:rsidP="00CC2C45">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1B062304" w14:textId="77777777" w:rsidR="00CC2C45" w:rsidRPr="00F8050B" w:rsidRDefault="00CC2C45" w:rsidP="00CC2C45">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557A0487" w14:textId="635402A8" w:rsidR="00CC2C45" w:rsidRPr="00631E8F" w:rsidRDefault="00CC2C45" w:rsidP="00631E8F">
      <w:r w:rsidRPr="00631E8F">
        <w:t>Brenzys has been assessed by the TGA on the basis of</w:t>
      </w:r>
      <w:r w:rsidRPr="00631E8F">
        <w:rPr>
          <w:rFonts w:hint="eastAsia"/>
        </w:rPr>
        <w:t xml:space="preserve"> comparability and clinical studies </w:t>
      </w:r>
      <w:r w:rsidRPr="00631E8F">
        <w:t>to be highly similar</w:t>
      </w:r>
      <w:r w:rsidRPr="00631E8F">
        <w:rPr>
          <w:rFonts w:hint="eastAsia"/>
        </w:rPr>
        <w:t xml:space="preserve"> to</w:t>
      </w:r>
      <w:r w:rsidRPr="00631E8F">
        <w:t xml:space="preserve"> the reference brand,</w:t>
      </w:r>
      <w:r w:rsidRPr="00631E8F">
        <w:rPr>
          <w:rFonts w:hint="eastAsia"/>
        </w:rPr>
        <w:t xml:space="preserve"> </w:t>
      </w:r>
      <w:r w:rsidRPr="00631E8F">
        <w:t>Enbrel</w:t>
      </w:r>
      <w:r w:rsidR="009A30A4">
        <w:rPr>
          <w:vertAlign w:val="superscript"/>
        </w:rPr>
        <w:t>®</w:t>
      </w:r>
      <w:r w:rsidRPr="00631E8F">
        <w:t xml:space="preserve">. </w:t>
      </w:r>
      <w:r w:rsidRPr="00631E8F">
        <w:rPr>
          <w:rFonts w:hint="eastAsia"/>
        </w:rPr>
        <w:t xml:space="preserve">This means </w:t>
      </w:r>
      <w:r w:rsidRPr="00631E8F">
        <w:t>that Brenzys provides the same health outcomes and is</w:t>
      </w:r>
      <w:r w:rsidRPr="00631E8F">
        <w:rPr>
          <w:rFonts w:hint="eastAsia"/>
        </w:rPr>
        <w:t xml:space="preserve"> </w:t>
      </w:r>
      <w:r w:rsidRPr="00631E8F">
        <w:t>as safe and effective as Enbrel.</w:t>
      </w:r>
    </w:p>
    <w:p w14:paraId="450C9219" w14:textId="1E478204" w:rsidR="00CC2C45" w:rsidRDefault="00CC2C45" w:rsidP="00CC2C45">
      <w:pPr>
        <w:pStyle w:val="Heading2"/>
      </w:pPr>
      <w:r>
        <w:t>What is etanercept?</w:t>
      </w:r>
    </w:p>
    <w:p w14:paraId="0E4DA7DF" w14:textId="1FA7E1C9" w:rsidR="00CC2C45" w:rsidRDefault="00CC2C45" w:rsidP="00CC2C45">
      <w:r>
        <w:t>Etanercept is used on the PBS to treat severe active rheumatoid arthritis, ankylosing spondylitis, severe psoriatic arthritis, severe chronic plaque psoriasis and severe active juvenile idiopathic arthritis (Brenzys</w:t>
      </w:r>
      <w:r>
        <w:rPr>
          <w:vertAlign w:val="superscript"/>
        </w:rPr>
        <w:t xml:space="preserve"> </w:t>
      </w:r>
      <w:r>
        <w:t>is</w:t>
      </w:r>
      <w:r w:rsidRPr="00284357">
        <w:t xml:space="preserve"> available</w:t>
      </w:r>
      <w:r>
        <w:t xml:space="preserve"> for these indications, with the exception of severe active juvenile idiopathic arthritis).</w:t>
      </w:r>
    </w:p>
    <w:p w14:paraId="542DC0DF" w14:textId="28F6D075" w:rsidR="00CC2C45" w:rsidRPr="003C3E8E" w:rsidRDefault="00CC2C45" w:rsidP="00CC2C45">
      <w:r>
        <w:t xml:space="preserve">More information about this medicine is available by entering ‘etanercept’ at </w:t>
      </w:r>
      <w:r>
        <w:rPr>
          <w:rFonts w:hint="eastAsia"/>
          <w:lang w:eastAsia="ko-KR"/>
        </w:rPr>
        <w:t xml:space="preserve">the </w:t>
      </w:r>
      <w:hyperlink r:id="rId9"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7A4D00F4" w14:textId="77777777" w:rsidR="00CC2C45" w:rsidRDefault="00CC2C45" w:rsidP="00CC2C45">
      <w:pPr>
        <w:pStyle w:val="Heading2"/>
      </w:pPr>
      <w:r>
        <w:t xml:space="preserve">Can PBS brands of etanercept be substituted? </w:t>
      </w:r>
    </w:p>
    <w:p w14:paraId="772A7797" w14:textId="3B35055A" w:rsidR="00CC2C45" w:rsidRPr="003D52F4" w:rsidRDefault="00CC2C45" w:rsidP="00CC2C45">
      <w:pPr>
        <w:autoSpaceDE w:val="0"/>
        <w:autoSpaceDN w:val="0"/>
        <w:adjustRightInd w:val="0"/>
        <w:rPr>
          <w:rFonts w:cs="Arial"/>
        </w:rPr>
      </w:pPr>
      <w:r w:rsidRPr="003D52F4">
        <w:rPr>
          <w:rFonts w:cs="Arial"/>
        </w:rPr>
        <w:t>The Pharmaceutical Benefits Advisory Committee (PBAC</w:t>
      </w:r>
      <w:r w:rsidR="00672A1B">
        <w:rPr>
          <w:rFonts w:cs="Arial"/>
        </w:rPr>
        <w:t>)</w:t>
      </w:r>
      <w:r w:rsidR="007F4A01">
        <w:rPr>
          <w:rFonts w:cs="Arial"/>
        </w:rPr>
        <w:t>, and independent, expert advisory body to the Australian Government,</w:t>
      </w:r>
      <w:r w:rsidR="00672A1B">
        <w:rPr>
          <w:rFonts w:cs="Arial"/>
        </w:rPr>
        <w:t xml:space="preserve"> </w:t>
      </w:r>
      <w:r w:rsidRPr="003D52F4">
        <w:rPr>
          <w:rFonts w:cs="Arial"/>
        </w:rPr>
        <w:t xml:space="preserve">recommended that </w:t>
      </w:r>
      <w:r>
        <w:rPr>
          <w:rFonts w:cs="Arial"/>
        </w:rPr>
        <w:t>Brenzys</w:t>
      </w:r>
      <w:r w:rsidRPr="003D52F4">
        <w:rPr>
          <w:rFonts w:cs="Arial"/>
        </w:rPr>
        <w:t xml:space="preserve"> be listed on the PBS as a substitutable biosimilar of </w:t>
      </w:r>
      <w:r>
        <w:rPr>
          <w:rFonts w:cs="Arial"/>
        </w:rPr>
        <w:t>Enbrel</w:t>
      </w:r>
      <w:r w:rsidR="00672A1B">
        <w:rPr>
          <w:rFonts w:cs="Arial"/>
        </w:rPr>
        <w:t>,</w:t>
      </w:r>
      <w:r w:rsidRPr="003D52F4">
        <w:rPr>
          <w:rFonts w:cs="Arial"/>
        </w:rPr>
        <w:t xml:space="preserve"> </w:t>
      </w:r>
      <w:r w:rsidR="0016772B">
        <w:t>the reference b</w:t>
      </w:r>
      <w:r w:rsidR="0016772B" w:rsidRPr="00AF634E">
        <w:t>rand of</w:t>
      </w:r>
      <w:r w:rsidR="001D19DF">
        <w:t xml:space="preserve"> etanercept</w:t>
      </w:r>
      <w:r w:rsidRPr="003D52F4">
        <w:rPr>
          <w:rFonts w:cs="Arial"/>
        </w:rPr>
        <w:t xml:space="preserve">. </w:t>
      </w:r>
      <w:r w:rsidR="002D262E">
        <w:t>S</w:t>
      </w:r>
      <w:r w:rsidR="002D262E" w:rsidRPr="00AF634E">
        <w:t xml:space="preserve">ubstitutable </w:t>
      </w:r>
      <w:r w:rsidR="002D262E" w:rsidRPr="007D3E12">
        <w:t xml:space="preserve">brands are </w:t>
      </w:r>
      <w:r w:rsidR="002D262E" w:rsidRPr="007D3E12">
        <w:lastRenderedPageBreak/>
        <w:t>marked in the Schedule with an ‘a’</w:t>
      </w:r>
      <w:r w:rsidR="002D262E" w:rsidRPr="007D3E12">
        <w:noBreakHyphen/>
        <w:t>flag.</w:t>
      </w:r>
      <w:r w:rsidR="002D262E" w:rsidRPr="00BF242E">
        <w:t xml:space="preserve"> </w:t>
      </w:r>
      <w:r w:rsidR="002D262E" w:rsidRPr="003D52F4">
        <w:t xml:space="preserve">When PBS brands are </w:t>
      </w:r>
      <w:r w:rsidR="002D262E">
        <w:t>’a’-flagged</w:t>
      </w:r>
      <w:r w:rsidR="002D262E" w:rsidRPr="003D52F4">
        <w:t xml:space="preserve"> with each other</w:t>
      </w:r>
      <w:r w:rsidR="00672A1B">
        <w:t xml:space="preserve"> </w:t>
      </w:r>
      <w:r w:rsidR="002D262E" w:rsidRPr="003D52F4">
        <w:t>the pharmacist may dispense any</w:t>
      </w:r>
      <w:r w:rsidR="002D262E">
        <w:t xml:space="preserve"> of these</w:t>
      </w:r>
      <w:r w:rsidR="002D262E" w:rsidRPr="003D52F4">
        <w:t xml:space="preserve"> brand</w:t>
      </w:r>
      <w:r w:rsidR="002D262E">
        <w:t>s</w:t>
      </w:r>
      <w:r w:rsidR="00672A1B">
        <w:t xml:space="preserve"> in consultation with the patient and</w:t>
      </w:r>
      <w:r w:rsidR="002D262E" w:rsidRPr="003D52F4">
        <w:t xml:space="preserve"> provided the prescriber has not indicated ‘brand substitution not permitted’ on the prescription</w:t>
      </w:r>
      <w:r w:rsidR="00672A1B">
        <w:t>.</w:t>
      </w:r>
    </w:p>
    <w:p w14:paraId="482C7DB7" w14:textId="7C1B2668" w:rsidR="00072398" w:rsidRPr="00BF242E" w:rsidRDefault="00072398" w:rsidP="00072398">
      <w:r w:rsidRPr="007D3E12">
        <w:t>Substitution is also permitted between formulations when the total amount of drug is the same, and a note has been placed in the Schedule of Pharmaceutical Benefits listing to indicate that substitution is permissible.</w:t>
      </w:r>
    </w:p>
    <w:p w14:paraId="6DDFAC52" w14:textId="77777777" w:rsidR="00072398" w:rsidRPr="003D52F4" w:rsidRDefault="00072398" w:rsidP="00072398">
      <w:r>
        <w:t>P</w:t>
      </w:r>
      <w:r w:rsidRPr="0012514F">
        <w:t>harmacists can substitute a reference brand with a biosimilar brand</w:t>
      </w:r>
      <w:r>
        <w:t xml:space="preserve">, however, depending on the PBS item code prescribed, substituting a biosimilar brand with a reference brand may not be permitted. </w:t>
      </w:r>
    </w:p>
    <w:p w14:paraId="71AC1921" w14:textId="6EADA190" w:rsidR="00CC2C45" w:rsidRPr="001F3984" w:rsidRDefault="00F5678D" w:rsidP="00CC2C45">
      <w:pPr>
        <w:pStyle w:val="Heading2"/>
      </w:pPr>
      <w:r>
        <w:t>Authority requirements</w:t>
      </w:r>
      <w:r w:rsidR="00CC2C45" w:rsidRPr="001F3984">
        <w:t xml:space="preserve"> for </w:t>
      </w:r>
      <w:r w:rsidR="00CC2C45">
        <w:t>etanercept</w:t>
      </w:r>
    </w:p>
    <w:p w14:paraId="7B216A3B" w14:textId="4977B923" w:rsidR="003F7C30" w:rsidRDefault="003F7C30" w:rsidP="003F7C30">
      <w:r>
        <w:t xml:space="preserve">Authority Requirements for prescribing </w:t>
      </w:r>
      <w:r w:rsidR="0093083B">
        <w:t>etanercept</w:t>
      </w:r>
      <w:r>
        <w:t xml:space="preserve"> vary between PBS items and need to be confirmed in the </w:t>
      </w:r>
      <w:hyperlink r:id="rId10" w:history="1">
        <w:r w:rsidRPr="003320B0">
          <w:rPr>
            <w:rStyle w:val="Hyperlink"/>
          </w:rPr>
          <w:t>Schedule of Pharmaceutical Benefits</w:t>
        </w:r>
      </w:hyperlink>
      <w:r>
        <w:t xml:space="preserve">. Depending on the item, authority approval may be obtained either in writing or via the Health Professionals Online Service (HPOS) form upload facility, or alternatively approval may be obtained in real time via telephone or online application via </w:t>
      </w:r>
      <w:r w:rsidRPr="00F530FF">
        <w:t>Services Australia’s Online PBS Authorities</w:t>
      </w:r>
      <w:r>
        <w:t xml:space="preserve"> (OPA)</w:t>
      </w:r>
      <w:r w:rsidRPr="00F530FF">
        <w:t xml:space="preserve"> system</w:t>
      </w:r>
      <w:r>
        <w:t>.</w:t>
      </w:r>
    </w:p>
    <w:p w14:paraId="4BF547D7" w14:textId="28B618C5" w:rsidR="003F7C30" w:rsidRDefault="003F7C30" w:rsidP="003F7C30">
      <w:r>
        <w:t>For a number of PBS indications</w:t>
      </w:r>
      <w:r w:rsidRPr="00E81F8E">
        <w:t xml:space="preserve"> prescribers may use the relevant </w:t>
      </w:r>
      <w:hyperlink r:id="rId11" w:history="1">
        <w:r w:rsidRPr="00E81F8E">
          <w:rPr>
            <w:rStyle w:val="Hyperlink"/>
          </w:rPr>
          <w:t>Authority Required (STREAMLINED)</w:t>
        </w:r>
      </w:hyperlink>
      <w:r>
        <w:t xml:space="preserve"> </w:t>
      </w:r>
      <w:r w:rsidRPr="00E81F8E">
        <w:t xml:space="preserve">code for the </w:t>
      </w:r>
      <w:r w:rsidRPr="00BF242E">
        <w:rPr>
          <w:i/>
          <w:iCs/>
        </w:rPr>
        <w:t>subsequent continuing</w:t>
      </w:r>
      <w:r w:rsidRPr="00E81F8E">
        <w:t xml:space="preserve"> treatment phase</w:t>
      </w:r>
      <w:r>
        <w:t xml:space="preserve"> when prescribing</w:t>
      </w:r>
      <w:r w:rsidRPr="001A2964">
        <w:t xml:space="preserve"> the biosimilar brand</w:t>
      </w:r>
      <w:r>
        <w:t xml:space="preserve"> Brenzys. The b</w:t>
      </w:r>
      <w:r w:rsidRPr="00F530FF">
        <w:t xml:space="preserve">iosimilar </w:t>
      </w:r>
      <w:r>
        <w:t>is</w:t>
      </w:r>
      <w:r w:rsidRPr="00F530FF">
        <w:t xml:space="preserve"> also </w:t>
      </w:r>
      <w:hyperlink r:id="rId12" w:history="1">
        <w:r w:rsidRPr="00F530FF">
          <w:rPr>
            <w:rStyle w:val="Hyperlink"/>
          </w:rPr>
          <w:t>Authority Required (STREAMLINED)</w:t>
        </w:r>
      </w:hyperlink>
      <w:r w:rsidRPr="00F530FF">
        <w:t xml:space="preserve"> for </w:t>
      </w:r>
      <w:r>
        <w:t xml:space="preserve">some indications for the </w:t>
      </w:r>
      <w:r w:rsidRPr="00BF242E">
        <w:rPr>
          <w:i/>
          <w:iCs/>
        </w:rPr>
        <w:t>first continuing</w:t>
      </w:r>
      <w:r w:rsidRPr="00F530FF">
        <w:t xml:space="preserve"> treatment</w:t>
      </w:r>
      <w:r>
        <w:t xml:space="preserve"> phase.</w:t>
      </w:r>
    </w:p>
    <w:p w14:paraId="110F2230" w14:textId="70867656" w:rsidR="009A30A4" w:rsidRDefault="009A30A4" w:rsidP="00CC2C45">
      <w:pPr>
        <w:rPr>
          <w:rFonts w:cs="Arial"/>
        </w:rPr>
      </w:pPr>
      <w:bookmarkStart w:id="0" w:name="_Hlk114480933"/>
      <w:r>
        <w:rPr>
          <w:rFonts w:cs="Arial"/>
        </w:rPr>
        <w:t xml:space="preserve">Read the Schedule of Pharmaceutical Benefits for the restrictions for </w:t>
      </w:r>
      <w:hyperlink r:id="rId13" w:history="1">
        <w:r w:rsidRPr="009A30A4">
          <w:rPr>
            <w:rStyle w:val="Hyperlink"/>
            <w:rFonts w:cs="Arial"/>
          </w:rPr>
          <w:t>etanercept</w:t>
        </w:r>
      </w:hyperlink>
      <w:r>
        <w:rPr>
          <w:rFonts w:cs="Arial"/>
        </w:rPr>
        <w:t>. The Schedule is also available via the</w:t>
      </w:r>
      <w:r w:rsidRPr="00A94669">
        <w:rPr>
          <w:rFonts w:cs="Arial"/>
        </w:rPr>
        <w:t xml:space="preserve"> </w:t>
      </w:r>
      <w:hyperlink r:id="rId14" w:history="1">
        <w:r>
          <w:rPr>
            <w:rStyle w:val="Hyperlink"/>
            <w:rFonts w:cs="Arial"/>
          </w:rPr>
          <w:t>PBS publications page</w:t>
        </w:r>
      </w:hyperlink>
      <w:r>
        <w:rPr>
          <w:rFonts w:cs="Arial"/>
        </w:rPr>
        <w:t xml:space="preserve">. The </w:t>
      </w:r>
      <w:r>
        <w:t>prescribing software</w:t>
      </w:r>
      <w:r>
        <w:rPr>
          <w:rFonts w:cs="Arial"/>
        </w:rPr>
        <w:t xml:space="preserve"> contains further details of initial, </w:t>
      </w:r>
      <w:r w:rsidR="00BB5180">
        <w:rPr>
          <w:rFonts w:cs="Arial"/>
        </w:rPr>
        <w:t xml:space="preserve">continuing, </w:t>
      </w:r>
      <w:r>
        <w:rPr>
          <w:rFonts w:cs="Arial"/>
        </w:rPr>
        <w:t>first continuing and subsequent continuing treatment phase criteria and eligibility details.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bookmarkEnd w:id="0"/>
    </w:p>
    <w:p w14:paraId="2AECE1B4" w14:textId="037B6223" w:rsidR="00CC2C45" w:rsidRDefault="00CC2C45" w:rsidP="00CC2C45">
      <w:pPr>
        <w:pStyle w:val="Heading2"/>
      </w:pPr>
      <w:r>
        <w:t>Do biosimilar uptake drivers apply to etanercept?</w:t>
      </w:r>
    </w:p>
    <w:p w14:paraId="27E66AA8" w14:textId="77777777" w:rsidR="00354276" w:rsidRDefault="00354276" w:rsidP="00354276">
      <w:r w:rsidRPr="003D52F4">
        <w:t>The Government has implemented policies to encourage greater use of biosimilar brands</w:t>
      </w:r>
      <w:r>
        <w:t xml:space="preserve">. </w:t>
      </w:r>
    </w:p>
    <w:p w14:paraId="4D967FCE" w14:textId="77777777" w:rsidR="00354276" w:rsidRDefault="00354276" w:rsidP="00354276">
      <w:r>
        <w:t>For some items, prescribing the biosimilar brand is administratively easier than prescribing the reference brand as authority requirements may differ.</w:t>
      </w:r>
    </w:p>
    <w:p w14:paraId="21B1EB56" w14:textId="77777777" w:rsidR="00354276" w:rsidRPr="00583447" w:rsidRDefault="00354276" w:rsidP="00354276">
      <w:r w:rsidRPr="00583447">
        <w:t>In line with the Government’s commitment to the uptake of biosimilars, prescribers are encouraged to prescribe a biosimilar brand for treatment-naïve patients where appropriate. The following administrative note is included in the Schedule:</w:t>
      </w:r>
    </w:p>
    <w:p w14:paraId="6CD58953" w14:textId="0B3A718F" w:rsidR="00CC2C45" w:rsidRPr="00631E8F" w:rsidRDefault="00CC2C45" w:rsidP="00631E8F">
      <w:pPr>
        <w:pStyle w:val="Boxtext"/>
        <w:rPr>
          <w:rStyle w:val="Strong"/>
        </w:rPr>
      </w:pPr>
      <w:r w:rsidRPr="00631E8F">
        <w:rPr>
          <w:rStyle w:val="Strong"/>
        </w:rPr>
        <w:t xml:space="preserve">Biosimilar prescribing policy </w:t>
      </w:r>
    </w:p>
    <w:p w14:paraId="57022505" w14:textId="77777777" w:rsidR="00CC2C45" w:rsidRPr="00631E8F" w:rsidRDefault="00CC2C45" w:rsidP="00631E8F">
      <w:pPr>
        <w:pStyle w:val="Boxtext"/>
      </w:pPr>
      <w:r w:rsidRPr="00631E8F">
        <w:t xml:space="preserve">Prescribing of the biosimilar brand Brenzys is encouraged for treatment naïve patients. Encouraging biosimilar prescribing for treatment naïve patients is Government policy. A viable biosimilar market is expected to result in reduced costs for biological medicines, allowing the Government to reinvest in new treatments. </w:t>
      </w:r>
    </w:p>
    <w:p w14:paraId="08531201" w14:textId="77777777" w:rsidR="00CC2C45" w:rsidRPr="00987E69" w:rsidRDefault="00CC2C45" w:rsidP="00CC2C45">
      <w:pPr>
        <w:autoSpaceDE w:val="0"/>
        <w:autoSpaceDN w:val="0"/>
        <w:adjustRightInd w:val="0"/>
        <w:rPr>
          <w:rFonts w:cs="Arial"/>
        </w:rPr>
      </w:pPr>
      <w:r>
        <w:rPr>
          <w:rFonts w:cs="Arial"/>
        </w:rPr>
        <w:t xml:space="preserve">Further information about the biosimilar uptake drivers is available on the </w:t>
      </w:r>
      <w:hyperlink r:id="rId15" w:history="1">
        <w:r w:rsidRPr="00145926">
          <w:rPr>
            <w:rStyle w:val="Hyperlink"/>
            <w:rFonts w:cs="Arial"/>
          </w:rPr>
          <w:t>PBS website</w:t>
        </w:r>
      </w:hyperlink>
      <w:r>
        <w:rPr>
          <w:rFonts w:cs="Arial"/>
        </w:rPr>
        <w:t>.</w:t>
      </w:r>
    </w:p>
    <w:p w14:paraId="75E65407" w14:textId="77777777" w:rsidR="00CC2C45" w:rsidRPr="004B7B34" w:rsidRDefault="00CC2C45" w:rsidP="00CC2C45">
      <w:pPr>
        <w:pStyle w:val="Heading2"/>
      </w:pPr>
      <w:r w:rsidRPr="004B7B34">
        <w:rPr>
          <w:iCs w:val="0"/>
          <w:szCs w:val="24"/>
        </w:rPr>
        <w:lastRenderedPageBreak/>
        <w:t>Why are</w:t>
      </w:r>
      <w:r w:rsidRPr="004B7B34">
        <w:t xml:space="preserve"> biosimilar medicines important?</w:t>
      </w:r>
    </w:p>
    <w:p w14:paraId="0CA2B470" w14:textId="77777777" w:rsidR="005C6F83" w:rsidRPr="004B7B34" w:rsidRDefault="005C6F83" w:rsidP="005C6F83">
      <w:r>
        <w:rPr>
          <w:rFonts w:cs="Arial"/>
        </w:rPr>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4BCE64D4" w14:textId="77777777" w:rsidR="00CC2C45" w:rsidRPr="004B7B34" w:rsidRDefault="00CC2C45" w:rsidP="00CC2C45">
      <w:pPr>
        <w:pStyle w:val="Heading2"/>
      </w:pPr>
      <w:r w:rsidRPr="004B7B34">
        <w:t>How can greater use of biosimilars benefit the PBS?</w:t>
      </w:r>
    </w:p>
    <w:p w14:paraId="0CF6992F" w14:textId="77777777" w:rsidR="00013141" w:rsidRPr="00CF0739" w:rsidRDefault="00013141" w:rsidP="00013141">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6B5F5126" w14:textId="77777777" w:rsidR="00013141" w:rsidRPr="005535C9" w:rsidRDefault="00013141" w:rsidP="00013141">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7F1D71FD" w14:textId="3DF7EE9F" w:rsidR="00CC2C45" w:rsidRPr="004B7B34" w:rsidRDefault="00CC2C45" w:rsidP="00CC2C45">
      <w:pPr>
        <w:rPr>
          <w:rFonts w:cs="Arial"/>
        </w:rPr>
      </w:pPr>
      <w:r w:rsidRPr="004B7B34">
        <w:rPr>
          <w:rFonts w:cs="Arial"/>
        </w:rPr>
        <w:t xml:space="preserve">Detailed information about PBS pricing, including Price Disclosure, is available on the </w:t>
      </w:r>
      <w:hyperlink r:id="rId16" w:history="1">
        <w:r w:rsidRPr="004B7B34">
          <w:rPr>
            <w:rStyle w:val="Hyperlink"/>
            <w:rFonts w:cs="Arial"/>
          </w:rPr>
          <w:t>PBS</w:t>
        </w:r>
        <w:r w:rsidR="002B28A4">
          <w:rPr>
            <w:rStyle w:val="Hyperlink"/>
            <w:rFonts w:cs="Arial"/>
          </w:rPr>
          <w:t> </w:t>
        </w:r>
        <w:r w:rsidRPr="004B7B34">
          <w:rPr>
            <w:rStyle w:val="Hyperlink"/>
            <w:rFonts w:cs="Arial"/>
          </w:rPr>
          <w:t>website</w:t>
        </w:r>
      </w:hyperlink>
      <w:r w:rsidRPr="004B7B34">
        <w:rPr>
          <w:rFonts w:cs="Arial"/>
        </w:rPr>
        <w:t>.</w:t>
      </w:r>
    </w:p>
    <w:p w14:paraId="27AAEF06" w14:textId="77777777" w:rsidR="00CC2C45" w:rsidRPr="00D673BE" w:rsidRDefault="00CC2C45" w:rsidP="00CC2C45">
      <w:pPr>
        <w:pStyle w:val="Heading2"/>
      </w:pPr>
      <w:r>
        <w:rPr>
          <w:rFonts w:hint="eastAsia"/>
        </w:rPr>
        <w:t>M</w:t>
      </w:r>
      <w:r w:rsidRPr="00D673BE">
        <w:t>ore Information</w:t>
      </w:r>
    </w:p>
    <w:p w14:paraId="2770B924" w14:textId="77777777" w:rsidR="002B28A4" w:rsidRPr="008C125D" w:rsidRDefault="002B28A4" w:rsidP="002B28A4">
      <w:bookmarkStart w:id="1" w:name="_Hlk114481044"/>
      <w:r w:rsidRPr="008C125D">
        <w:t>For more information, read</w:t>
      </w:r>
      <w:r>
        <w:t>:</w:t>
      </w:r>
    </w:p>
    <w:p w14:paraId="2A7B73B2" w14:textId="77777777" w:rsidR="002B28A4" w:rsidRPr="0041243E" w:rsidRDefault="002B28A4" w:rsidP="002B28A4">
      <w:pPr>
        <w:pStyle w:val="ListBullet"/>
        <w:numPr>
          <w:ilvl w:val="0"/>
          <w:numId w:val="17"/>
        </w:numPr>
        <w:spacing w:line="276" w:lineRule="auto"/>
        <w:rPr>
          <w:lang w:eastAsia="ko-KR"/>
        </w:rPr>
      </w:pPr>
      <w:r w:rsidRPr="008C125D">
        <w:rPr>
          <w:lang w:eastAsia="ko-KR"/>
        </w:rPr>
        <w:t>Department of Health and Aged Care website</w:t>
      </w:r>
      <w:r>
        <w:rPr>
          <w:lang w:eastAsia="ko-KR"/>
        </w:rPr>
        <w:t xml:space="preserve"> </w:t>
      </w:r>
      <w:hyperlink r:id="rId17" w:history="1">
        <w:r w:rsidRPr="008A247E">
          <w:rPr>
            <w:rStyle w:val="Hyperlink"/>
            <w:lang w:eastAsia="ko-KR"/>
          </w:rPr>
          <w:t>About medicines</w:t>
        </w:r>
      </w:hyperlink>
      <w:r>
        <w:rPr>
          <w:lang w:eastAsia="ko-KR"/>
        </w:rPr>
        <w:t xml:space="preserve"> page.</w:t>
      </w:r>
    </w:p>
    <w:p w14:paraId="5D12306E" w14:textId="77777777" w:rsidR="002B28A4" w:rsidRDefault="002B28A4" w:rsidP="002B28A4">
      <w:pPr>
        <w:pStyle w:val="ListBullet"/>
        <w:numPr>
          <w:ilvl w:val="0"/>
          <w:numId w:val="17"/>
        </w:numPr>
        <w:spacing w:line="276" w:lineRule="auto"/>
      </w:pPr>
      <w:r w:rsidRPr="008C125D">
        <w:rPr>
          <w:lang w:eastAsia="ko-KR"/>
        </w:rPr>
        <w:t>Therapeutic Goods Administration website</w:t>
      </w:r>
      <w:r>
        <w:rPr>
          <w:lang w:eastAsia="ko-KR"/>
        </w:rPr>
        <w:t xml:space="preserve"> </w:t>
      </w:r>
      <w:hyperlink r:id="rId18"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1DD8D1B7" w14:textId="4957EE5B" w:rsidR="002B28A4" w:rsidRPr="00A53CCA" w:rsidRDefault="002B28A4" w:rsidP="002B28A4">
      <w:pPr>
        <w:pStyle w:val="ListBullet"/>
        <w:numPr>
          <w:ilvl w:val="0"/>
          <w:numId w:val="17"/>
        </w:numPr>
        <w:spacing w:line="276" w:lineRule="auto"/>
        <w:rPr>
          <w:rFonts w:cs="Arial"/>
          <w:lang w:eastAsia="ko-KR"/>
        </w:rPr>
      </w:pPr>
      <w:r w:rsidRPr="008C125D">
        <w:rPr>
          <w:rFonts w:cs="Arial"/>
        </w:rPr>
        <w:t xml:space="preserve">PBS website </w:t>
      </w:r>
      <w:r>
        <w:rPr>
          <w:rFonts w:cs="Arial"/>
        </w:rPr>
        <w:t>–</w:t>
      </w:r>
      <w:r w:rsidRPr="0093115C">
        <w:rPr>
          <w:rFonts w:cs="Arial"/>
        </w:rPr>
        <w:t xml:space="preserve"> </w:t>
      </w:r>
      <w:hyperlink r:id="rId19" w:history="1">
        <w:r w:rsidRPr="002B28A4">
          <w:rPr>
            <w:rStyle w:val="Hyperlink"/>
            <w:rFonts w:cs="Arial"/>
          </w:rPr>
          <w:t xml:space="preserve">PBAC Public summary document for </w:t>
        </w:r>
        <w:r w:rsidRPr="002B28A4">
          <w:rPr>
            <w:rStyle w:val="Hyperlink"/>
            <w:rFonts w:cs="Arial"/>
            <w:lang w:eastAsia="ko-KR"/>
          </w:rPr>
          <w:t>Brenzys</w:t>
        </w:r>
      </w:hyperlink>
      <w:r w:rsidRPr="009A5E10">
        <w:t>.</w:t>
      </w:r>
    </w:p>
    <w:p w14:paraId="61BEF872" w14:textId="45489757" w:rsidR="002B28A4" w:rsidRPr="008C125D" w:rsidRDefault="002B28A4" w:rsidP="002B28A4">
      <w:pPr>
        <w:pStyle w:val="ListBullet"/>
        <w:numPr>
          <w:ilvl w:val="0"/>
          <w:numId w:val="17"/>
        </w:numPr>
        <w:spacing w:line="276" w:lineRule="auto"/>
        <w:rPr>
          <w:rFonts w:cs="Arial"/>
          <w:lang w:eastAsia="ko-KR"/>
        </w:rPr>
      </w:pPr>
      <w:r w:rsidRPr="009F7989">
        <w:rPr>
          <w:lang w:eastAsia="ko-KR"/>
        </w:rPr>
        <w:t>The</w:t>
      </w:r>
      <w:r w:rsidRPr="009F7989">
        <w:t xml:space="preserve"> </w:t>
      </w:r>
      <w:hyperlink r:id="rId20" w:history="1">
        <w:r w:rsidRPr="009F7989">
          <w:rPr>
            <w:rStyle w:val="Hyperlink"/>
          </w:rPr>
          <w:t>Biosimilar Education Hub</w:t>
        </w:r>
      </w:hyperlink>
      <w:r w:rsidRPr="009F7989">
        <w:t xml:space="preserve"> </w:t>
      </w:r>
      <w:r>
        <w:t xml:space="preserve">(Generic and Biosimilar Medicines Association Education website, originally funded by the </w:t>
      </w:r>
      <w:r w:rsidR="008B4291">
        <w:t>Australian Government</w:t>
      </w:r>
      <w:r>
        <w:t>).</w:t>
      </w:r>
    </w:p>
    <w:p w14:paraId="764E10D7" w14:textId="77777777" w:rsidR="002B28A4" w:rsidRPr="009040E9" w:rsidRDefault="002B28A4" w:rsidP="002B28A4">
      <w:pPr>
        <w:spacing w:after="60"/>
      </w:pPr>
      <w:r>
        <w:rPr>
          <w:rFonts w:cs="Arial"/>
        </w:rPr>
        <w:t xml:space="preserve">Further information for healthcare professionals regarding the use of </w:t>
      </w:r>
      <w:hyperlink r:id="rId21" w:history="1">
        <w:r w:rsidRPr="007B397E">
          <w:rPr>
            <w:rStyle w:val="Hyperlink"/>
            <w:rFonts w:cs="Arial"/>
          </w:rPr>
          <w:t>PBS Authorities</w:t>
        </w:r>
      </w:hyperlink>
      <w:r>
        <w:rPr>
          <w:rFonts w:cs="Arial"/>
        </w:rPr>
        <w:t xml:space="preserve"> and </w:t>
      </w:r>
      <w:hyperlink r:id="rId22" w:history="1">
        <w:r w:rsidRPr="007B397E">
          <w:rPr>
            <w:rStyle w:val="Hyperlink"/>
            <w:rFonts w:cs="Arial"/>
          </w:rPr>
          <w:t>claiming of PBS benefits</w:t>
        </w:r>
      </w:hyperlink>
      <w:r>
        <w:rPr>
          <w:rFonts w:cs="Arial"/>
        </w:rPr>
        <w:t xml:space="preserve"> is available at the </w:t>
      </w:r>
      <w:hyperlink r:id="rId23" w:history="1">
        <w:r w:rsidRPr="007E3F33">
          <w:rPr>
            <w:rStyle w:val="Hyperlink"/>
            <w:rFonts w:cs="Arial"/>
          </w:rPr>
          <w:t>Services Australia</w:t>
        </w:r>
      </w:hyperlink>
      <w:r>
        <w:rPr>
          <w:rFonts w:cs="Arial"/>
        </w:rPr>
        <w:t xml:space="preserve"> website.</w:t>
      </w:r>
      <w:bookmarkEnd w:id="1"/>
    </w:p>
    <w:p w14:paraId="4494AF8F" w14:textId="4ACFF82D" w:rsidR="009040E9" w:rsidRPr="00631E8F" w:rsidRDefault="009040E9" w:rsidP="002B28A4"/>
    <w:sectPr w:rsidR="009040E9" w:rsidRPr="00631E8F" w:rsidSect="00B53987">
      <w:headerReference w:type="default"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F972" w14:textId="77777777" w:rsidR="004D6995" w:rsidRDefault="004D6995" w:rsidP="006B56BB">
      <w:r>
        <w:separator/>
      </w:r>
    </w:p>
    <w:p w14:paraId="2DD140AA" w14:textId="77777777" w:rsidR="004D6995" w:rsidRDefault="004D6995"/>
  </w:endnote>
  <w:endnote w:type="continuationSeparator" w:id="0">
    <w:p w14:paraId="5B18C6D8" w14:textId="77777777" w:rsidR="004D6995" w:rsidRDefault="004D6995" w:rsidP="006B56BB">
      <w:r>
        <w:continuationSeparator/>
      </w:r>
    </w:p>
    <w:p w14:paraId="6091288E" w14:textId="77777777" w:rsidR="004D6995" w:rsidRDefault="004D6995"/>
  </w:endnote>
  <w:endnote w:type="continuationNotice" w:id="1">
    <w:p w14:paraId="5D455C9F" w14:textId="77777777" w:rsidR="004D6995" w:rsidRDefault="004D6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53B6DBB8"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C2C45">
      <w:t>Etanercept</w:t>
    </w:r>
    <w:r w:rsidR="007B1FEE">
      <w:t xml:space="preserv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402ABF7A"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C2C45">
      <w:t>Etanercept</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3B37" w14:textId="77777777" w:rsidR="004D6995" w:rsidRDefault="004D6995" w:rsidP="006B56BB">
      <w:r>
        <w:separator/>
      </w:r>
    </w:p>
    <w:p w14:paraId="2EB97A3C" w14:textId="77777777" w:rsidR="004D6995" w:rsidRDefault="004D6995"/>
  </w:footnote>
  <w:footnote w:type="continuationSeparator" w:id="0">
    <w:p w14:paraId="5080F420" w14:textId="77777777" w:rsidR="004D6995" w:rsidRDefault="004D6995" w:rsidP="006B56BB">
      <w:r>
        <w:continuationSeparator/>
      </w:r>
    </w:p>
    <w:p w14:paraId="7E224BA2" w14:textId="77777777" w:rsidR="004D6995" w:rsidRDefault="004D6995"/>
  </w:footnote>
  <w:footnote w:type="continuationNotice" w:id="1">
    <w:p w14:paraId="4FC01536" w14:textId="77777777" w:rsidR="004D6995" w:rsidRDefault="004D6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11518410">
    <w:abstractNumId w:val="7"/>
  </w:num>
  <w:num w:numId="2" w16cid:durableId="734428748">
    <w:abstractNumId w:val="15"/>
  </w:num>
  <w:num w:numId="3" w16cid:durableId="1946889549">
    <w:abstractNumId w:val="17"/>
  </w:num>
  <w:num w:numId="4" w16cid:durableId="1590309961">
    <w:abstractNumId w:val="8"/>
  </w:num>
  <w:num w:numId="5" w16cid:durableId="1195340494">
    <w:abstractNumId w:val="8"/>
    <w:lvlOverride w:ilvl="0">
      <w:startOverride w:val="1"/>
    </w:lvlOverride>
  </w:num>
  <w:num w:numId="6" w16cid:durableId="874854918">
    <w:abstractNumId w:val="9"/>
  </w:num>
  <w:num w:numId="7" w16cid:durableId="504368547">
    <w:abstractNumId w:val="13"/>
  </w:num>
  <w:num w:numId="8" w16cid:durableId="1950970985">
    <w:abstractNumId w:val="16"/>
  </w:num>
  <w:num w:numId="9" w16cid:durableId="1149903053">
    <w:abstractNumId w:val="5"/>
  </w:num>
  <w:num w:numId="10" w16cid:durableId="467555063">
    <w:abstractNumId w:val="4"/>
  </w:num>
  <w:num w:numId="11" w16cid:durableId="356388997">
    <w:abstractNumId w:val="3"/>
  </w:num>
  <w:num w:numId="12" w16cid:durableId="274137720">
    <w:abstractNumId w:val="2"/>
  </w:num>
  <w:num w:numId="13" w16cid:durableId="1321734939">
    <w:abstractNumId w:val="6"/>
  </w:num>
  <w:num w:numId="14" w16cid:durableId="2018076385">
    <w:abstractNumId w:val="1"/>
  </w:num>
  <w:num w:numId="15" w16cid:durableId="1526014407">
    <w:abstractNumId w:val="0"/>
  </w:num>
  <w:num w:numId="16" w16cid:durableId="77992678">
    <w:abstractNumId w:val="18"/>
  </w:num>
  <w:num w:numId="17" w16cid:durableId="181284462">
    <w:abstractNumId w:val="10"/>
  </w:num>
  <w:num w:numId="18" w16cid:durableId="218175271">
    <w:abstractNumId w:val="11"/>
  </w:num>
  <w:num w:numId="19" w16cid:durableId="2013800381">
    <w:abstractNumId w:val="12"/>
  </w:num>
  <w:num w:numId="20" w16cid:durableId="1008290236">
    <w:abstractNumId w:val="10"/>
  </w:num>
  <w:num w:numId="21" w16cid:durableId="905840289">
    <w:abstractNumId w:val="12"/>
  </w:num>
  <w:num w:numId="22" w16cid:durableId="370688362">
    <w:abstractNumId w:val="18"/>
  </w:num>
  <w:num w:numId="23" w16cid:durableId="1636177763">
    <w:abstractNumId w:val="15"/>
  </w:num>
  <w:num w:numId="24" w16cid:durableId="103766216">
    <w:abstractNumId w:val="17"/>
  </w:num>
  <w:num w:numId="25" w16cid:durableId="1191607825">
    <w:abstractNumId w:val="8"/>
  </w:num>
  <w:num w:numId="26" w16cid:durableId="671958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3141"/>
    <w:rsid w:val="0001460F"/>
    <w:rsid w:val="00022629"/>
    <w:rsid w:val="000259B6"/>
    <w:rsid w:val="00026139"/>
    <w:rsid w:val="00027601"/>
    <w:rsid w:val="00033321"/>
    <w:rsid w:val="000338E5"/>
    <w:rsid w:val="00033ECC"/>
    <w:rsid w:val="000340D4"/>
    <w:rsid w:val="0003422F"/>
    <w:rsid w:val="00043DC0"/>
    <w:rsid w:val="00046FF0"/>
    <w:rsid w:val="00050176"/>
    <w:rsid w:val="00050342"/>
    <w:rsid w:val="00067456"/>
    <w:rsid w:val="00071506"/>
    <w:rsid w:val="0007154F"/>
    <w:rsid w:val="00072398"/>
    <w:rsid w:val="00081AB1"/>
    <w:rsid w:val="00090316"/>
    <w:rsid w:val="00090BEA"/>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6772B"/>
    <w:rsid w:val="0017665C"/>
    <w:rsid w:val="00177AD2"/>
    <w:rsid w:val="001815A8"/>
    <w:rsid w:val="001840FA"/>
    <w:rsid w:val="00190079"/>
    <w:rsid w:val="0019622E"/>
    <w:rsid w:val="001966A7"/>
    <w:rsid w:val="001A4627"/>
    <w:rsid w:val="001A4979"/>
    <w:rsid w:val="001A6DD1"/>
    <w:rsid w:val="001B15D3"/>
    <w:rsid w:val="001B3443"/>
    <w:rsid w:val="001C0326"/>
    <w:rsid w:val="001C192F"/>
    <w:rsid w:val="001C3C42"/>
    <w:rsid w:val="001D19DF"/>
    <w:rsid w:val="001D7869"/>
    <w:rsid w:val="002026CD"/>
    <w:rsid w:val="002033FC"/>
    <w:rsid w:val="002044BB"/>
    <w:rsid w:val="00210B09"/>
    <w:rsid w:val="00210C9E"/>
    <w:rsid w:val="00211840"/>
    <w:rsid w:val="00220E5F"/>
    <w:rsid w:val="002212B5"/>
    <w:rsid w:val="00224BC4"/>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28A4"/>
    <w:rsid w:val="002B42A3"/>
    <w:rsid w:val="002C0CDD"/>
    <w:rsid w:val="002C38C4"/>
    <w:rsid w:val="002D262E"/>
    <w:rsid w:val="002E1A1D"/>
    <w:rsid w:val="002E4081"/>
    <w:rsid w:val="002E5B78"/>
    <w:rsid w:val="002F3AE3"/>
    <w:rsid w:val="0030464B"/>
    <w:rsid w:val="0030786C"/>
    <w:rsid w:val="003233DE"/>
    <w:rsid w:val="0032466B"/>
    <w:rsid w:val="003320B0"/>
    <w:rsid w:val="003330EB"/>
    <w:rsid w:val="003415FD"/>
    <w:rsid w:val="003429F0"/>
    <w:rsid w:val="00345A82"/>
    <w:rsid w:val="0035097A"/>
    <w:rsid w:val="003540A4"/>
    <w:rsid w:val="00354276"/>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7C30"/>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FAC"/>
    <w:rsid w:val="00464631"/>
    <w:rsid w:val="00464B79"/>
    <w:rsid w:val="00467BBF"/>
    <w:rsid w:val="00467DF5"/>
    <w:rsid w:val="0048593C"/>
    <w:rsid w:val="004867E2"/>
    <w:rsid w:val="004929A9"/>
    <w:rsid w:val="004A78D9"/>
    <w:rsid w:val="004C6BCF"/>
    <w:rsid w:val="004D58BF"/>
    <w:rsid w:val="004D6995"/>
    <w:rsid w:val="004E4335"/>
    <w:rsid w:val="004F13EE"/>
    <w:rsid w:val="004F2022"/>
    <w:rsid w:val="004F7C05"/>
    <w:rsid w:val="00501C94"/>
    <w:rsid w:val="00506432"/>
    <w:rsid w:val="00506E82"/>
    <w:rsid w:val="0052051D"/>
    <w:rsid w:val="00542598"/>
    <w:rsid w:val="00545EE6"/>
    <w:rsid w:val="005550E7"/>
    <w:rsid w:val="005564FB"/>
    <w:rsid w:val="005572C7"/>
    <w:rsid w:val="0056501C"/>
    <w:rsid w:val="005650ED"/>
    <w:rsid w:val="00575754"/>
    <w:rsid w:val="00581FBA"/>
    <w:rsid w:val="00591E20"/>
    <w:rsid w:val="00595408"/>
    <w:rsid w:val="00595E84"/>
    <w:rsid w:val="005A0C59"/>
    <w:rsid w:val="005A48EB"/>
    <w:rsid w:val="005A6CFB"/>
    <w:rsid w:val="005C5AEB"/>
    <w:rsid w:val="005C6F83"/>
    <w:rsid w:val="005E0A3F"/>
    <w:rsid w:val="005E6883"/>
    <w:rsid w:val="005E772F"/>
    <w:rsid w:val="005F2638"/>
    <w:rsid w:val="005F4ECA"/>
    <w:rsid w:val="006041BE"/>
    <w:rsid w:val="006043C7"/>
    <w:rsid w:val="00624B52"/>
    <w:rsid w:val="00630794"/>
    <w:rsid w:val="00631DF4"/>
    <w:rsid w:val="00631E8F"/>
    <w:rsid w:val="00634175"/>
    <w:rsid w:val="006408AC"/>
    <w:rsid w:val="006511B6"/>
    <w:rsid w:val="00657FF8"/>
    <w:rsid w:val="0066672F"/>
    <w:rsid w:val="00670D99"/>
    <w:rsid w:val="00670E2B"/>
    <w:rsid w:val="00672A1B"/>
    <w:rsid w:val="006734BB"/>
    <w:rsid w:val="0067697A"/>
    <w:rsid w:val="006821EB"/>
    <w:rsid w:val="00694AAE"/>
    <w:rsid w:val="006B2286"/>
    <w:rsid w:val="006B56BB"/>
    <w:rsid w:val="006C1EF9"/>
    <w:rsid w:val="006C77A8"/>
    <w:rsid w:val="006D4098"/>
    <w:rsid w:val="006D7681"/>
    <w:rsid w:val="006D7B2E"/>
    <w:rsid w:val="006E02EA"/>
    <w:rsid w:val="006E0968"/>
    <w:rsid w:val="006E2AF6"/>
    <w:rsid w:val="006F19BE"/>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364"/>
    <w:rsid w:val="007A14C5"/>
    <w:rsid w:val="007A4A10"/>
    <w:rsid w:val="007B1760"/>
    <w:rsid w:val="007B1FEE"/>
    <w:rsid w:val="007C1FDC"/>
    <w:rsid w:val="007C6D9C"/>
    <w:rsid w:val="007C7DDB"/>
    <w:rsid w:val="007D2CC7"/>
    <w:rsid w:val="007D673D"/>
    <w:rsid w:val="007E0FB8"/>
    <w:rsid w:val="007E4D09"/>
    <w:rsid w:val="007F2220"/>
    <w:rsid w:val="007F4A01"/>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675CA"/>
    <w:rsid w:val="00873D90"/>
    <w:rsid w:val="00873FC8"/>
    <w:rsid w:val="00884C63"/>
    <w:rsid w:val="00885908"/>
    <w:rsid w:val="008864B7"/>
    <w:rsid w:val="0089677E"/>
    <w:rsid w:val="008A7438"/>
    <w:rsid w:val="008B1334"/>
    <w:rsid w:val="008B25C7"/>
    <w:rsid w:val="008B4291"/>
    <w:rsid w:val="008B51E9"/>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083B"/>
    <w:rsid w:val="009344AE"/>
    <w:rsid w:val="009344DE"/>
    <w:rsid w:val="00945E7F"/>
    <w:rsid w:val="00953A0E"/>
    <w:rsid w:val="009557C1"/>
    <w:rsid w:val="00960D6E"/>
    <w:rsid w:val="00974B59"/>
    <w:rsid w:val="0098340B"/>
    <w:rsid w:val="00986830"/>
    <w:rsid w:val="009924C3"/>
    <w:rsid w:val="00993102"/>
    <w:rsid w:val="009A30A4"/>
    <w:rsid w:val="009A5E10"/>
    <w:rsid w:val="009B1570"/>
    <w:rsid w:val="009B3676"/>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52A0"/>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A2F"/>
    <w:rsid w:val="00BA2732"/>
    <w:rsid w:val="00BA293D"/>
    <w:rsid w:val="00BA49BC"/>
    <w:rsid w:val="00BA56B7"/>
    <w:rsid w:val="00BA7A1E"/>
    <w:rsid w:val="00BB247C"/>
    <w:rsid w:val="00BB2F6C"/>
    <w:rsid w:val="00BB3875"/>
    <w:rsid w:val="00BB5180"/>
    <w:rsid w:val="00BB5860"/>
    <w:rsid w:val="00BB6AAD"/>
    <w:rsid w:val="00BC4A19"/>
    <w:rsid w:val="00BC4E6D"/>
    <w:rsid w:val="00BD0617"/>
    <w:rsid w:val="00BD2E9B"/>
    <w:rsid w:val="00BD7FB2"/>
    <w:rsid w:val="00BF1812"/>
    <w:rsid w:val="00C00930"/>
    <w:rsid w:val="00C060AD"/>
    <w:rsid w:val="00C113BF"/>
    <w:rsid w:val="00C2176E"/>
    <w:rsid w:val="00C23430"/>
    <w:rsid w:val="00C27D67"/>
    <w:rsid w:val="00C372F7"/>
    <w:rsid w:val="00C43140"/>
    <w:rsid w:val="00C4631F"/>
    <w:rsid w:val="00C47CDE"/>
    <w:rsid w:val="00C50E16"/>
    <w:rsid w:val="00C55258"/>
    <w:rsid w:val="00C82EEB"/>
    <w:rsid w:val="00C971DC"/>
    <w:rsid w:val="00CA16B7"/>
    <w:rsid w:val="00CA62AE"/>
    <w:rsid w:val="00CB5B1A"/>
    <w:rsid w:val="00CC220B"/>
    <w:rsid w:val="00CC2C45"/>
    <w:rsid w:val="00CC5C43"/>
    <w:rsid w:val="00CD02AE"/>
    <w:rsid w:val="00CD2A4F"/>
    <w:rsid w:val="00CE03CA"/>
    <w:rsid w:val="00CE22F1"/>
    <w:rsid w:val="00CE50F2"/>
    <w:rsid w:val="00CE6502"/>
    <w:rsid w:val="00CF7D3C"/>
    <w:rsid w:val="00D01F09"/>
    <w:rsid w:val="00D147EB"/>
    <w:rsid w:val="00D22C3F"/>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1004"/>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678D"/>
    <w:rsid w:val="00F6239D"/>
    <w:rsid w:val="00F70E4C"/>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E8F"/>
    <w:pPr>
      <w:spacing w:before="120" w:after="120"/>
    </w:pPr>
    <w:rPr>
      <w:rFonts w:ascii="Arial" w:eastAsiaTheme="minorEastAsia" w:hAnsi="Arial"/>
      <w:sz w:val="22"/>
      <w:szCs w:val="24"/>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rPr>
  </w:style>
  <w:style w:type="paragraph" w:customStyle="1" w:styleId="Boxtext">
    <w:name w:val="Box text"/>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2B28A4"/>
    <w:rPr>
      <w:color w:val="800080" w:themeColor="followedHyperlink"/>
      <w:u w:val="single"/>
    </w:rPr>
  </w:style>
  <w:style w:type="character" w:styleId="UnresolvedMention">
    <w:name w:val="Unresolved Mention"/>
    <w:basedOn w:val="DefaultParagraphFont"/>
    <w:uiPriority w:val="99"/>
    <w:semiHidden/>
    <w:unhideWhenUsed/>
    <w:rsid w:val="002B28A4"/>
    <w:rPr>
      <w:color w:val="605E5C"/>
      <w:shd w:val="clear" w:color="auto" w:fill="E1DFDD"/>
    </w:rPr>
  </w:style>
  <w:style w:type="paragraph" w:styleId="Revision">
    <w:name w:val="Revision"/>
    <w:hidden/>
    <w:uiPriority w:val="99"/>
    <w:semiHidden/>
    <w:rsid w:val="00D22C3F"/>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browse/section-100/s100-highly-specialised-drugs" TargetMode="External"/><Relationship Id="rId13" Type="http://schemas.openxmlformats.org/officeDocument/2006/relationships/hyperlink" Target="https://www.pbs.gov.au/pbs/search?term=etanercept" TargetMode="External"/><Relationship Id="rId18" Type="http://schemas.openxmlformats.org/officeDocument/2006/relationships/hyperlink" Target="https://www.tga.gov.au/resources/resource/guidance/biosimilar-medicines-regulati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ervicesaustralia.gov.au/pharmaceutical-benefits-scheme" TargetMode="External"/><Relationship Id="rId7" Type="http://schemas.openxmlformats.org/officeDocument/2006/relationships/endnotes" Target="endnotes.xml"/><Relationship Id="rId12" Type="http://schemas.openxmlformats.org/officeDocument/2006/relationships/hyperlink" Target="https://www.pbs.gov.au/info/publication/factsheets/shared/fact-sheet-streamlined-authorities" TargetMode="External"/><Relationship Id="rId17" Type="http://schemas.openxmlformats.org/officeDocument/2006/relationships/hyperlink" Target="http://www.health.gov.au/biosimila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s.gov.au/info/industry/pricing" TargetMode="External"/><Relationship Id="rId20" Type="http://schemas.openxmlformats.org/officeDocument/2006/relationships/hyperlink" Target="https://biosimilarhub.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fo/publication/factsheets/shared/fact-sheet-streamlined-authorit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bs.gov.au/general/biosimilars/biosimilar-uptake-drivers-q-and-a.pdf" TargetMode="External"/><Relationship Id="rId23" Type="http://schemas.openxmlformats.org/officeDocument/2006/relationships/hyperlink" Target="https://www.servicesaustralia.gov.au/" TargetMode="External"/><Relationship Id="rId28" Type="http://schemas.openxmlformats.org/officeDocument/2006/relationships/fontTable" Target="fontTable.xml"/><Relationship Id="rId10" Type="http://schemas.openxmlformats.org/officeDocument/2006/relationships/hyperlink" Target="https://www.pbs.gov.au/pbs/search?term=etanercept" TargetMode="External"/><Relationship Id="rId19" Type="http://schemas.openxmlformats.org/officeDocument/2006/relationships/hyperlink" Target="https://www.pbs.gov.au/industry/listing/elements/pbac-meetings/psd/2016-07/files/etanercept-psd-july-2016.pdf" TargetMode="External"/><Relationship Id="rId4" Type="http://schemas.openxmlformats.org/officeDocument/2006/relationships/settings" Target="settings.xml"/><Relationship Id="rId9" Type="http://schemas.openxmlformats.org/officeDocument/2006/relationships/hyperlink" Target="https://www.nps.org.au/medical-info/medicine-finder" TargetMode="External"/><Relationship Id="rId14" Type="http://schemas.openxmlformats.org/officeDocument/2006/relationships/hyperlink" Target="http://www.pbs.gov.au/browse/publications" TargetMode="External"/><Relationship Id="rId22" Type="http://schemas.openxmlformats.org/officeDocument/2006/relationships/hyperlink" Target="https://www.servicesaustralia.gov.au/claim-benefit-medicare-benefits-for-health-professionals?context=34076"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Biosimilar medicine fact sheet – etanercept</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 fact sheet – etanercept</dc:title>
  <dc:subject/>
  <dc:creator/>
  <cp:keywords>medicines;</cp:keywords>
  <cp:lastModifiedBy/>
  <cp:revision>1</cp:revision>
  <dcterms:created xsi:type="dcterms:W3CDTF">2024-02-22T05:33:00Z</dcterms:created>
  <dcterms:modified xsi:type="dcterms:W3CDTF">2024-02-22T05:33:00Z</dcterms:modified>
</cp:coreProperties>
</file>